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9359"/>
        </w:tabs>
        <w:rPr>
          <w:rFonts w:ascii="Georgia" w:cs="Georgia" w:eastAsia="Georgia" w:hAnsi="Georgia"/>
          <w:b w:val="1"/>
          <w:sz w:val="26"/>
          <w:szCs w:val="26"/>
        </w:rPr>
      </w:pPr>
      <w:r w:rsidDel="00000000" w:rsidR="00000000" w:rsidRPr="00000000">
        <w:rPr>
          <w:rFonts w:ascii="Georgia" w:cs="Georgia" w:eastAsia="Georgia" w:hAnsi="Georgia"/>
          <w:b w:val="1"/>
          <w:sz w:val="32"/>
          <w:szCs w:val="32"/>
          <w:u w:val="single"/>
          <w:rtl w:val="0"/>
        </w:rPr>
        <w:t xml:space="preserve">                             NICHOLAS C. DeFURIA Esq.</w:t>
      </w:r>
      <w:r w:rsidDel="00000000" w:rsidR="00000000" w:rsidRPr="00000000">
        <w:rPr>
          <w:rFonts w:ascii="Georgia" w:cs="Georgia" w:eastAsia="Georgia" w:hAnsi="Georgia"/>
          <w:b w:val="1"/>
          <w:sz w:val="26"/>
          <w:szCs w:val="26"/>
          <w:u w:val="single"/>
          <w:rtl w:val="0"/>
        </w:rPr>
        <w:tab/>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65" w:lineRule="auto"/>
        <w:jc w:val="center"/>
        <w:rPr>
          <w:rFonts w:ascii="Georgia" w:cs="Georgia" w:eastAsia="Georgia" w:hAnsi="Georgia"/>
        </w:rPr>
      </w:pPr>
      <w:r w:rsidDel="00000000" w:rsidR="00000000" w:rsidRPr="00000000">
        <w:rPr>
          <w:rFonts w:ascii="Georgia" w:cs="Georgia" w:eastAsia="Georgia" w:hAnsi="Georgia"/>
          <w:rtl w:val="0"/>
        </w:rPr>
        <w:t xml:space="preserve">64 Dayton Ct. Unit 101</w:t>
      </w:r>
      <w:r w:rsidDel="00000000" w:rsidR="00000000" w:rsidRPr="00000000">
        <w:rPr>
          <w:rFonts w:ascii="Georgia" w:cs="Georgia" w:eastAsia="Georgia" w:hAnsi="Georgia"/>
          <w:color w:val="000000"/>
          <w:rtl w:val="0"/>
        </w:rPr>
        <w:t xml:space="preserve">, Hackettstown, NJ • 908-914-6810 • </w:t>
      </w:r>
      <w:r w:rsidDel="00000000" w:rsidR="00000000" w:rsidRPr="00000000">
        <w:rPr>
          <w:rFonts w:ascii="Georgia" w:cs="Georgia" w:eastAsia="Georgia" w:hAnsi="Georgia"/>
          <w:rtl w:val="0"/>
        </w:rPr>
        <w:t xml:space="preserve">nicholascdefuria@gmail.com</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13" w:lineRule="auto"/>
        <w:rPr>
          <w:rFonts w:ascii="Georgia" w:cs="Georgia" w:eastAsia="Georgia" w:hAnsi="Georgia"/>
          <w:color w:val="000000"/>
          <w:sz w:val="13"/>
          <w:szCs w:val="13"/>
        </w:rPr>
      </w:pPr>
      <w:r w:rsidDel="00000000" w:rsidR="00000000" w:rsidRPr="00000000">
        <w:rPr>
          <w:rtl w:val="0"/>
        </w:rPr>
      </w:r>
    </w:p>
    <w:p w:rsidR="00000000" w:rsidDel="00000000" w:rsidP="00000000" w:rsidRDefault="00000000" w:rsidRPr="00000000" w14:paraId="00000004">
      <w:pPr>
        <w:pStyle w:val="Heading1"/>
        <w:spacing w:before="0" w:lineRule="auto"/>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ADMISSIONS</w:t>
      </w:r>
    </w:p>
    <w:p w:rsidR="00000000" w:rsidDel="00000000" w:rsidP="00000000" w:rsidRDefault="00000000" w:rsidRPr="00000000" w14:paraId="00000005">
      <w:pPr>
        <w:pStyle w:val="Heading1"/>
        <w:spacing w:before="0" w:line="240" w:lineRule="auto"/>
        <w:ind w:left="0" w:firstLine="0"/>
        <w:rPr>
          <w:rFonts w:ascii="Georgia" w:cs="Georgia" w:eastAsia="Georgia" w:hAnsi="Georgia"/>
          <w:b w:val="0"/>
          <w:u w:val="none"/>
        </w:rPr>
      </w:pPr>
      <w:r w:rsidDel="00000000" w:rsidR="00000000" w:rsidRPr="00000000">
        <w:rPr>
          <w:rFonts w:ascii="Georgia" w:cs="Georgia" w:eastAsia="Georgia" w:hAnsi="Georgia"/>
          <w:u w:val="none"/>
          <w:rtl w:val="0"/>
        </w:rPr>
        <w:t xml:space="preserve">New Jersey,</w:t>
      </w:r>
      <w:r w:rsidDel="00000000" w:rsidR="00000000" w:rsidRPr="00000000">
        <w:rPr>
          <w:rFonts w:ascii="Georgia" w:cs="Georgia" w:eastAsia="Georgia" w:hAnsi="Georgia"/>
          <w:b w:val="0"/>
          <w:u w:val="none"/>
          <w:rtl w:val="0"/>
        </w:rPr>
        <w:t xml:space="preserve"> Admitted May 2024</w:t>
      </w:r>
    </w:p>
    <w:p w:rsidR="00000000" w:rsidDel="00000000" w:rsidP="00000000" w:rsidRDefault="00000000" w:rsidRPr="00000000" w14:paraId="00000006">
      <w:pPr>
        <w:rPr>
          <w:rFonts w:ascii="Georgia" w:cs="Georgia" w:eastAsia="Georgia" w:hAnsi="Georgia"/>
        </w:rPr>
      </w:pPr>
      <w:r w:rsidDel="00000000" w:rsidR="00000000" w:rsidRPr="00000000">
        <w:rPr>
          <w:rFonts w:ascii="Georgia" w:cs="Georgia" w:eastAsia="Georgia" w:hAnsi="Georgia"/>
          <w:b w:val="1"/>
          <w:rtl w:val="0"/>
        </w:rPr>
        <w:t xml:space="preserve">Federal District Court of New Jersey</w:t>
      </w:r>
      <w:r w:rsidDel="00000000" w:rsidR="00000000" w:rsidRPr="00000000">
        <w:rPr>
          <w:rFonts w:ascii="Georgia" w:cs="Georgia" w:eastAsia="Georgia" w:hAnsi="Georgia"/>
          <w:rtl w:val="0"/>
        </w:rPr>
        <w:t xml:space="preserve">, Admitted April 2025</w:t>
      </w:r>
      <w:r w:rsidDel="00000000" w:rsidR="00000000" w:rsidRPr="00000000">
        <w:rPr>
          <w:rtl w:val="0"/>
        </w:rPr>
      </w:r>
    </w:p>
    <w:p w:rsidR="00000000" w:rsidDel="00000000" w:rsidP="00000000" w:rsidRDefault="00000000" w:rsidRPr="00000000" w14:paraId="00000007">
      <w:pPr>
        <w:pStyle w:val="Heading1"/>
        <w:spacing w:before="0" w:lineRule="auto"/>
        <w:ind w:left="0" w:firstLine="0"/>
        <w:rPr>
          <w:rFonts w:ascii="Georgia" w:cs="Georgia" w:eastAsia="Georgia" w:hAnsi="Georgia"/>
          <w:b w:val="0"/>
          <w:sz w:val="13"/>
          <w:szCs w:val="13"/>
          <w:u w:val="none"/>
        </w:rPr>
      </w:pPr>
      <w:r w:rsidDel="00000000" w:rsidR="00000000" w:rsidRPr="00000000">
        <w:rPr>
          <w:rtl w:val="0"/>
        </w:rPr>
      </w:r>
    </w:p>
    <w:p w:rsidR="00000000" w:rsidDel="00000000" w:rsidP="00000000" w:rsidRDefault="00000000" w:rsidRPr="00000000" w14:paraId="00000008">
      <w:pPr>
        <w:pStyle w:val="Heading1"/>
        <w:spacing w:before="0" w:lineRule="auto"/>
        <w:ind w:left="0" w:firstLine="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EDUCATION</w:t>
      </w:r>
      <w:r w:rsidDel="00000000" w:rsidR="00000000" w:rsidRPr="00000000">
        <w:rPr>
          <w:rtl w:val="0"/>
        </w:rPr>
      </w:r>
    </w:p>
    <w:p w:rsidR="00000000" w:rsidDel="00000000" w:rsidP="00000000" w:rsidRDefault="00000000" w:rsidRPr="00000000" w14:paraId="00000009">
      <w:pPr>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Pace University, Elisabeth Haub School of Law, </w:t>
      </w:r>
      <w:r w:rsidDel="00000000" w:rsidR="00000000" w:rsidRPr="00000000">
        <w:rPr>
          <w:rFonts w:ascii="Georgia" w:cs="Georgia" w:eastAsia="Georgia" w:hAnsi="Georgia"/>
          <w:sz w:val="24"/>
          <w:szCs w:val="24"/>
          <w:rtl w:val="0"/>
        </w:rPr>
        <w:t xml:space="preserve">White Plains, NY</w:t>
      </w:r>
      <w:r w:rsidDel="00000000" w:rsidR="00000000" w:rsidRPr="00000000">
        <w:rPr>
          <w:rtl w:val="0"/>
        </w:rPr>
      </w:r>
    </w:p>
    <w:p w:rsidR="00000000" w:rsidDel="00000000" w:rsidP="00000000" w:rsidRDefault="00000000" w:rsidRPr="00000000" w14:paraId="0000000A">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Juris Doctor, May 2023</w:t>
      </w:r>
    </w:p>
    <w:p w:rsidR="00000000" w:rsidDel="00000000" w:rsidP="00000000" w:rsidRDefault="00000000" w:rsidRPr="00000000" w14:paraId="0000000B">
      <w:pPr>
        <w:spacing w:line="276" w:lineRule="auto"/>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Honors: </w:t>
      </w:r>
      <w:r w:rsidDel="00000000" w:rsidR="00000000" w:rsidRPr="00000000">
        <w:rPr>
          <w:rFonts w:ascii="Georgia" w:cs="Georgia" w:eastAsia="Georgia" w:hAnsi="Georgia"/>
          <w:sz w:val="24"/>
          <w:szCs w:val="24"/>
          <w:rtl w:val="0"/>
        </w:rPr>
        <w:t xml:space="preserve">Dean's List; Law School Merit Scholarship </w:t>
      </w:r>
      <w:r w:rsidDel="00000000" w:rsidR="00000000" w:rsidRPr="00000000">
        <w:rPr>
          <w:rFonts w:ascii="Georgia" w:cs="Georgia" w:eastAsia="Georgia" w:hAnsi="Georgia"/>
          <w:i w:val="1"/>
          <w:sz w:val="24"/>
          <w:szCs w:val="24"/>
          <w:rtl w:val="0"/>
        </w:rPr>
        <w:br w:type="textWrapping"/>
        <w:t xml:space="preserve">Clinics and Simulations: </w:t>
      </w:r>
      <w:r w:rsidDel="00000000" w:rsidR="00000000" w:rsidRPr="00000000">
        <w:rPr>
          <w:rFonts w:ascii="Georgia" w:cs="Georgia" w:eastAsia="Georgia" w:hAnsi="Georgia"/>
          <w:sz w:val="24"/>
          <w:szCs w:val="24"/>
          <w:rtl w:val="0"/>
        </w:rPr>
        <w:t xml:space="preserve">Advanced Appellate Advocacy; Trial Advocacy; Advanced Trial Advocacy; Surrogate’s Practice; Disability Rights Clinic; Lawyering</w:t>
      </w:r>
      <w:r w:rsidDel="00000000" w:rsidR="00000000" w:rsidRPr="00000000">
        <w:rPr>
          <w:rFonts w:ascii="Georgia" w:cs="Georgia" w:eastAsia="Georgia" w:hAnsi="Georgia"/>
          <w:i w:val="1"/>
          <w:sz w:val="24"/>
          <w:szCs w:val="24"/>
          <w:rtl w:val="0"/>
        </w:rPr>
        <w:t xml:space="preserve"> </w:t>
      </w:r>
      <w:r w:rsidDel="00000000" w:rsidR="00000000" w:rsidRPr="00000000">
        <w:rPr>
          <w:rtl w:val="0"/>
        </w:rPr>
      </w:r>
    </w:p>
    <w:p w:rsidR="00000000" w:rsidDel="00000000" w:rsidP="00000000" w:rsidRDefault="00000000" w:rsidRPr="00000000" w14:paraId="0000000C">
      <w:pPr>
        <w:jc w:val="both"/>
        <w:rPr>
          <w:rFonts w:ascii="Georgia" w:cs="Georgia" w:eastAsia="Georgia" w:hAnsi="Georgia"/>
          <w:b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D">
      <w:pPr>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Drew University, </w:t>
      </w:r>
      <w:r w:rsidDel="00000000" w:rsidR="00000000" w:rsidRPr="00000000">
        <w:rPr>
          <w:rFonts w:ascii="Georgia" w:cs="Georgia" w:eastAsia="Georgia" w:hAnsi="Georgia"/>
          <w:sz w:val="24"/>
          <w:szCs w:val="24"/>
          <w:rtl w:val="0"/>
        </w:rPr>
        <w:t xml:space="preserve">Madison, NJ</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0E">
      <w:pPr>
        <w:jc w:val="both"/>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Bachelor of Arts, May 2019</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Georgia" w:cs="Georgia" w:eastAsia="Georgia" w:hAnsi="Georgia"/>
          <w:color w:val="000000"/>
          <w:sz w:val="24"/>
          <w:szCs w:val="24"/>
        </w:rPr>
      </w:pPr>
      <w:r w:rsidDel="00000000" w:rsidR="00000000" w:rsidRPr="00000000">
        <w:rPr>
          <w:rFonts w:ascii="Georgia" w:cs="Georgia" w:eastAsia="Georgia" w:hAnsi="Georgia"/>
          <w:i w:val="1"/>
          <w:color w:val="000000"/>
          <w:sz w:val="24"/>
          <w:szCs w:val="24"/>
          <w:rtl w:val="0"/>
        </w:rPr>
        <w:t xml:space="preserve">Major:</w:t>
      </w:r>
      <w:r w:rsidDel="00000000" w:rsidR="00000000" w:rsidRPr="00000000">
        <w:rPr>
          <w:rFonts w:ascii="Georgia" w:cs="Georgia" w:eastAsia="Georgia" w:hAnsi="Georgia"/>
          <w:color w:val="000000"/>
          <w:sz w:val="24"/>
          <w:szCs w:val="24"/>
          <w:rtl w:val="0"/>
        </w:rPr>
        <w:t xml:space="preserve"> Political Science </w:t>
        <w:tab/>
      </w:r>
      <w:r w:rsidDel="00000000" w:rsidR="00000000" w:rsidRPr="00000000">
        <w:rPr>
          <w:rFonts w:ascii="Georgia" w:cs="Georgia" w:eastAsia="Georgia" w:hAnsi="Georgia"/>
          <w:i w:val="1"/>
          <w:color w:val="000000"/>
          <w:sz w:val="24"/>
          <w:szCs w:val="24"/>
          <w:rtl w:val="0"/>
        </w:rPr>
        <w:t xml:space="preserve">Minor:</w:t>
      </w:r>
      <w:r w:rsidDel="00000000" w:rsidR="00000000" w:rsidRPr="00000000">
        <w:rPr>
          <w:rFonts w:ascii="Georgia" w:cs="Georgia" w:eastAsia="Georgia" w:hAnsi="Georgia"/>
          <w:color w:val="000000"/>
          <w:sz w:val="24"/>
          <w:szCs w:val="24"/>
          <w:rtl w:val="0"/>
        </w:rPr>
        <w:t xml:space="preserve"> Ethics</w:t>
      </w:r>
    </w:p>
    <w:p w:rsidR="00000000" w:rsidDel="00000000" w:rsidP="00000000" w:rsidRDefault="00000000" w:rsidRPr="00000000" w14:paraId="00000010">
      <w:pPr>
        <w:spacing w:line="276" w:lineRule="auto"/>
        <w:jc w:val="both"/>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Honors:</w:t>
      </w:r>
      <w:r w:rsidDel="00000000" w:rsidR="00000000" w:rsidRPr="00000000">
        <w:rPr>
          <w:rFonts w:ascii="Georgia" w:cs="Georgia" w:eastAsia="Georgia" w:hAnsi="Georgia"/>
          <w:sz w:val="24"/>
          <w:szCs w:val="24"/>
          <w:rtl w:val="0"/>
        </w:rPr>
        <w:t xml:space="preserve"> Governor Thomas H. Kean Political Science Award; Dean's List</w:t>
      </w:r>
      <w:r w:rsidDel="00000000" w:rsidR="00000000" w:rsidRPr="00000000">
        <w:rPr>
          <w:rtl w:val="0"/>
        </w:rPr>
      </w:r>
    </w:p>
    <w:p w:rsidR="00000000" w:rsidDel="00000000" w:rsidP="00000000" w:rsidRDefault="00000000" w:rsidRPr="00000000" w14:paraId="00000011">
      <w:pPr>
        <w:spacing w:line="276" w:lineRule="auto"/>
        <w:jc w:val="both"/>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Activities: </w:t>
      </w:r>
      <w:r w:rsidDel="00000000" w:rsidR="00000000" w:rsidRPr="00000000">
        <w:rPr>
          <w:rFonts w:ascii="Georgia" w:cs="Georgia" w:eastAsia="Georgia" w:hAnsi="Georgia"/>
          <w:sz w:val="24"/>
          <w:szCs w:val="24"/>
          <w:rtl w:val="0"/>
        </w:rPr>
        <w:t xml:space="preserve">Drew University Student Government Senate, </w:t>
      </w:r>
      <w:r w:rsidDel="00000000" w:rsidR="00000000" w:rsidRPr="00000000">
        <w:rPr>
          <w:rFonts w:ascii="Georgia" w:cs="Georgia" w:eastAsia="Georgia" w:hAnsi="Georgia"/>
          <w:i w:val="1"/>
          <w:sz w:val="24"/>
          <w:szCs w:val="24"/>
          <w:rtl w:val="0"/>
        </w:rPr>
        <w:t xml:space="preserve">President Pro Tempore, </w:t>
      </w:r>
      <w:r w:rsidDel="00000000" w:rsidR="00000000" w:rsidRPr="00000000">
        <w:rPr>
          <w:rFonts w:ascii="Georgia" w:cs="Georgia" w:eastAsia="Georgia" w:hAnsi="Georgia"/>
          <w:sz w:val="24"/>
          <w:szCs w:val="24"/>
          <w:rtl w:val="0"/>
        </w:rPr>
        <w:t xml:space="preserve">September 2018 – April 2019</w:t>
      </w:r>
      <w:r w:rsidDel="00000000" w:rsidR="00000000" w:rsidRPr="00000000">
        <w:rPr>
          <w:rFonts w:ascii="Georgia" w:cs="Georgia" w:eastAsia="Georgia" w:hAnsi="Georgia"/>
          <w:i w:val="1"/>
          <w:sz w:val="24"/>
          <w:szCs w:val="24"/>
          <w:rtl w:val="0"/>
        </w:rPr>
        <w:t xml:space="preserve">, elected </w:t>
      </w:r>
      <w:r w:rsidDel="00000000" w:rsidR="00000000" w:rsidRPr="00000000">
        <w:rPr>
          <w:rFonts w:ascii="Georgia" w:cs="Georgia" w:eastAsia="Georgia" w:hAnsi="Georgia"/>
          <w:sz w:val="24"/>
          <w:szCs w:val="24"/>
          <w:rtl w:val="0"/>
        </w:rPr>
        <w:t xml:space="preserve">April 2017;</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Budget and Organizations Board, April 2017 – April 2019</w:t>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819"/>
          <w:tab w:val="left" w:leader="none" w:pos="820"/>
        </w:tabs>
        <w:jc w:val="both"/>
        <w:rPr>
          <w:rFonts w:ascii="Georgia" w:cs="Georgia" w:eastAsia="Georgia" w:hAnsi="Georgia"/>
          <w:b w:val="1"/>
          <w:color w:val="000000"/>
          <w:sz w:val="13"/>
          <w:szCs w:val="13"/>
        </w:rPr>
      </w:pPr>
      <w:r w:rsidDel="00000000" w:rsidR="00000000" w:rsidRPr="00000000">
        <w:rPr>
          <w:rtl w:val="0"/>
        </w:rPr>
      </w:r>
    </w:p>
    <w:p w:rsidR="00000000" w:rsidDel="00000000" w:rsidP="00000000" w:rsidRDefault="00000000" w:rsidRPr="00000000" w14:paraId="00000013">
      <w:pPr>
        <w:pStyle w:val="Heading1"/>
        <w:spacing w:before="0" w:line="240" w:lineRule="auto"/>
        <w:ind w:left="0" w:firstLine="0"/>
        <w:jc w:val="both"/>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LEGAL EXPERIENCE</w:t>
      </w:r>
      <w:r w:rsidDel="00000000" w:rsidR="00000000" w:rsidRPr="00000000">
        <w:rPr>
          <w:rtl w:val="0"/>
        </w:rPr>
      </w:r>
    </w:p>
    <w:p w:rsidR="00000000" w:rsidDel="00000000" w:rsidP="00000000" w:rsidRDefault="00000000" w:rsidRPr="00000000" w14:paraId="00000014">
      <w:pPr>
        <w:spacing w:line="245"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Lavery, Selvaggi &amp; Cohen, P.C.,</w:t>
      </w:r>
      <w:r w:rsidDel="00000000" w:rsidR="00000000" w:rsidRPr="00000000">
        <w:rPr>
          <w:rFonts w:ascii="Georgia" w:cs="Georgia" w:eastAsia="Georgia" w:hAnsi="Georgia"/>
          <w:sz w:val="24"/>
          <w:szCs w:val="24"/>
          <w:rtl w:val="0"/>
        </w:rPr>
        <w:t xml:space="preserve"> Hackettstown, New Jersey</w:t>
      </w:r>
    </w:p>
    <w:p w:rsidR="00000000" w:rsidDel="00000000" w:rsidP="00000000" w:rsidRDefault="00000000" w:rsidRPr="00000000" w14:paraId="00000015">
      <w:pPr>
        <w:spacing w:line="245" w:lineRule="auto"/>
        <w:jc w:val="both"/>
        <w:rPr>
          <w:rFonts w:ascii="Georgia" w:cs="Georgia" w:eastAsia="Georgia" w:hAnsi="Georgia"/>
          <w:b w:val="1"/>
          <w:sz w:val="24"/>
          <w:szCs w:val="24"/>
        </w:rPr>
      </w:pPr>
      <w:r w:rsidDel="00000000" w:rsidR="00000000" w:rsidRPr="00000000">
        <w:rPr>
          <w:rFonts w:ascii="Georgia" w:cs="Georgia" w:eastAsia="Georgia" w:hAnsi="Georgia"/>
          <w:i w:val="1"/>
          <w:sz w:val="24"/>
          <w:szCs w:val="24"/>
          <w:rtl w:val="0"/>
        </w:rPr>
        <w:t xml:space="preserve">Associate Attorney, </w:t>
      </w:r>
      <w:r w:rsidDel="00000000" w:rsidR="00000000" w:rsidRPr="00000000">
        <w:rPr>
          <w:rFonts w:ascii="Georgia" w:cs="Georgia" w:eastAsia="Georgia" w:hAnsi="Georgia"/>
          <w:sz w:val="24"/>
          <w:szCs w:val="24"/>
          <w:rtl w:val="0"/>
        </w:rPr>
        <w:t xml:space="preserve">December 2024 - Present</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16">
      <w:pPr>
        <w:spacing w:line="245"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Represents municipal governments, individuals and business in a wide range of civil matters, touching on trusts and estates, torts, contracts, complex business litigation, foreclosures and more. Serves in court appointed roles in probate and guardianship matters. Counsels municipal clients on town issues. Drafts ordinances, briefs, memorandum, motions and correspondence and conducts complex research in furtherance of the same. Appears in court for oral argument. </w:t>
      </w:r>
    </w:p>
    <w:p w:rsidR="00000000" w:rsidDel="00000000" w:rsidP="00000000" w:rsidRDefault="00000000" w:rsidRPr="00000000" w14:paraId="00000017">
      <w:pPr>
        <w:spacing w:line="245" w:lineRule="auto"/>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8">
      <w:pPr>
        <w:spacing w:line="245"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The Paton Law Firm, LLC, </w:t>
      </w:r>
      <w:r w:rsidDel="00000000" w:rsidR="00000000" w:rsidRPr="00000000">
        <w:rPr>
          <w:rFonts w:ascii="Georgia" w:cs="Georgia" w:eastAsia="Georgia" w:hAnsi="Georgia"/>
          <w:sz w:val="24"/>
          <w:szCs w:val="24"/>
          <w:rtl w:val="0"/>
        </w:rPr>
        <w:t xml:space="preserve">Fair Lawn, New Jersey</w:t>
      </w:r>
    </w:p>
    <w:p w:rsidR="00000000" w:rsidDel="00000000" w:rsidP="00000000" w:rsidRDefault="00000000" w:rsidRPr="00000000" w14:paraId="00000019">
      <w:pPr>
        <w:spacing w:line="245" w:lineRule="auto"/>
        <w:jc w:val="both"/>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Estate Administration Associate</w:t>
      </w:r>
      <w:r w:rsidDel="00000000" w:rsidR="00000000" w:rsidRPr="00000000">
        <w:rPr>
          <w:rFonts w:ascii="Georgia" w:cs="Georgia" w:eastAsia="Georgia" w:hAnsi="Georgia"/>
          <w:sz w:val="24"/>
          <w:szCs w:val="24"/>
          <w:rtl w:val="0"/>
        </w:rPr>
        <w:t xml:space="preserve">, September 2024 - December 2024</w:t>
      </w:r>
    </w:p>
    <w:p w:rsidR="00000000" w:rsidDel="00000000" w:rsidP="00000000" w:rsidRDefault="00000000" w:rsidRPr="00000000" w14:paraId="0000001A">
      <w:pPr>
        <w:spacing w:line="245" w:lineRule="auto"/>
        <w:jc w:val="both"/>
        <w:rPr>
          <w:rFonts w:ascii="Georgia" w:cs="Georgia" w:eastAsia="Georgia" w:hAnsi="Georgia"/>
          <w:b w:val="1"/>
          <w:sz w:val="26"/>
          <w:szCs w:val="26"/>
        </w:rPr>
      </w:pPr>
      <w:r w:rsidDel="00000000" w:rsidR="00000000" w:rsidRPr="00000000">
        <w:rPr>
          <w:rFonts w:ascii="Georgia" w:cs="Georgia" w:eastAsia="Georgia" w:hAnsi="Georgia"/>
          <w:sz w:val="24"/>
          <w:szCs w:val="24"/>
          <w:rtl w:val="0"/>
        </w:rPr>
        <w:t xml:space="preserve">Carried a caseload primarily covering Estate Administration, contested and uncontested probate and guardianships as well as commercial business and real estate matters. Represented clients in settlement negotiations with a high success rate and court hearings. Conducted extensive research projects. Drafted and filed letters, briefs, complaints, estate accountings and other correspondence. Counseled and interviewed potential and standing clients. Managed a department including paralegals, legal assistants and interns. </w:t>
      </w:r>
      <w:r w:rsidDel="00000000" w:rsidR="00000000" w:rsidRPr="00000000">
        <w:rPr>
          <w:rtl w:val="0"/>
        </w:rPr>
      </w:r>
    </w:p>
    <w:p w:rsidR="00000000" w:rsidDel="00000000" w:rsidP="00000000" w:rsidRDefault="00000000" w:rsidRPr="00000000" w14:paraId="0000001B">
      <w:pPr>
        <w:spacing w:line="245" w:lineRule="auto"/>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C">
      <w:pPr>
        <w:spacing w:line="245"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Superior Court Chancery Division, General Equity, </w:t>
      </w:r>
      <w:r w:rsidDel="00000000" w:rsidR="00000000" w:rsidRPr="00000000">
        <w:rPr>
          <w:rFonts w:ascii="Georgia" w:cs="Georgia" w:eastAsia="Georgia" w:hAnsi="Georgia"/>
          <w:sz w:val="24"/>
          <w:szCs w:val="24"/>
          <w:rtl w:val="0"/>
        </w:rPr>
        <w:t xml:space="preserve">Jersey City, New Jersey</w:t>
      </w:r>
    </w:p>
    <w:p w:rsidR="00000000" w:rsidDel="00000000" w:rsidP="00000000" w:rsidRDefault="00000000" w:rsidRPr="00000000" w14:paraId="0000001D">
      <w:pPr>
        <w:spacing w:line="245" w:lineRule="auto"/>
        <w:jc w:val="both"/>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Law Clerk for Hon. Mary K. Costello P.J.Ch.</w:t>
      </w:r>
      <w:r w:rsidDel="00000000" w:rsidR="00000000" w:rsidRPr="00000000">
        <w:rPr>
          <w:rFonts w:ascii="Georgia" w:cs="Georgia" w:eastAsia="Georgia" w:hAnsi="Georgia"/>
          <w:sz w:val="24"/>
          <w:szCs w:val="24"/>
          <w:rtl w:val="0"/>
        </w:rPr>
        <w:t xml:space="preserve">, August 2023 – September 2024</w:t>
      </w:r>
    </w:p>
    <w:p w:rsidR="00000000" w:rsidDel="00000000" w:rsidP="00000000" w:rsidRDefault="00000000" w:rsidRPr="00000000" w14:paraId="0000001E">
      <w:pPr>
        <w:spacing w:line="245"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Prepared legal memoranda on Probate, Chancery and Foreclosure matters for review by the Presiding Judge on Orders to Show Cause and motions.  Conducted legal research on substantive and procedural law for complex, contested matters.  Managed the motion calendar. Interacted with counsel, self-represented litigants, Superior Court Clerk’s Office and the Hudson County Surrogate. Assisted the Presiding Judge with procedural and case management issues. Attended hearings, trials, and settlement conferences. </w:t>
      </w:r>
    </w:p>
    <w:p w:rsidR="00000000" w:rsidDel="00000000" w:rsidP="00000000" w:rsidRDefault="00000000" w:rsidRPr="00000000" w14:paraId="0000001F">
      <w:pPr>
        <w:spacing w:line="245" w:lineRule="auto"/>
        <w:jc w:val="both"/>
        <w:rPr>
          <w:rFonts w:ascii="Georgia" w:cs="Georgia" w:eastAsia="Georgia" w:hAnsi="Georgia"/>
          <w:b w:val="1"/>
          <w:sz w:val="16"/>
          <w:szCs w:val="16"/>
        </w:rPr>
      </w:pPr>
      <w:r w:rsidDel="00000000" w:rsidR="00000000" w:rsidRPr="00000000">
        <w:rPr>
          <w:rtl w:val="0"/>
        </w:rPr>
      </w:r>
    </w:p>
    <w:p w:rsidR="00000000" w:rsidDel="00000000" w:rsidP="00000000" w:rsidRDefault="00000000" w:rsidRPr="00000000" w14:paraId="00000020">
      <w:pPr>
        <w:spacing w:line="245"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O’Donnell McCoy Buerle, LLC, </w:t>
      </w:r>
      <w:r w:rsidDel="00000000" w:rsidR="00000000" w:rsidRPr="00000000">
        <w:rPr>
          <w:rFonts w:ascii="Georgia" w:cs="Georgia" w:eastAsia="Georgia" w:hAnsi="Georgia"/>
          <w:sz w:val="24"/>
          <w:szCs w:val="24"/>
          <w:rtl w:val="0"/>
        </w:rPr>
        <w:t xml:space="preserve">Morristown, New Jersey</w:t>
      </w:r>
    </w:p>
    <w:p w:rsidR="00000000" w:rsidDel="00000000" w:rsidP="00000000" w:rsidRDefault="00000000" w:rsidRPr="00000000" w14:paraId="00000021">
      <w:pPr>
        <w:jc w:val="both"/>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Legal Intern, </w:t>
      </w:r>
      <w:r w:rsidDel="00000000" w:rsidR="00000000" w:rsidRPr="00000000">
        <w:rPr>
          <w:rFonts w:ascii="Georgia" w:cs="Georgia" w:eastAsia="Georgia" w:hAnsi="Georgia"/>
          <w:sz w:val="24"/>
          <w:szCs w:val="24"/>
          <w:rtl w:val="0"/>
        </w:rPr>
        <w:t xml:space="preserve">December 2022 - May 2023</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76"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Drafted letters, memoranda, and reports for clients relating to insurance defense and personal injury matters. Prepared and filed estate documents in the Surrogate’s Court. Performed legal research and assisted lawyers in strategically crafting arguments for trials and depositions</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sz w:val="24"/>
          <w:szCs w:val="24"/>
          <w:rtl w:val="0"/>
        </w:rPr>
        <w:t xml:space="preserve">Engaged in document review, evidence compiling and  strategic planning assignments. </w:t>
      </w:r>
    </w:p>
    <w:p w:rsidR="00000000" w:rsidDel="00000000" w:rsidP="00000000" w:rsidRDefault="00000000" w:rsidRPr="00000000" w14:paraId="00000023">
      <w:pPr>
        <w:rPr>
          <w:rFonts w:ascii="Georgia" w:cs="Georgia" w:eastAsia="Georgia" w:hAnsi="Georgia"/>
          <w:b w:val="1"/>
          <w:sz w:val="16"/>
          <w:szCs w:val="16"/>
        </w:rPr>
      </w:pPr>
      <w:r w:rsidDel="00000000" w:rsidR="00000000" w:rsidRPr="00000000">
        <w:rPr>
          <w:rtl w:val="0"/>
        </w:rPr>
      </w:r>
    </w:p>
    <w:p w:rsidR="00000000" w:rsidDel="00000000" w:rsidP="00000000" w:rsidRDefault="00000000" w:rsidRPr="00000000" w14:paraId="00000024">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John Jay Legal Services, Disability Rights Clinic</w:t>
      </w:r>
      <w:r w:rsidDel="00000000" w:rsidR="00000000" w:rsidRPr="00000000">
        <w:rPr>
          <w:rFonts w:ascii="Georgia" w:cs="Georgia" w:eastAsia="Georgia" w:hAnsi="Georgia"/>
          <w:sz w:val="24"/>
          <w:szCs w:val="24"/>
          <w:rtl w:val="0"/>
        </w:rPr>
        <w:t xml:space="preserve">, White Plains, New York</w:t>
      </w:r>
    </w:p>
    <w:p w:rsidR="00000000" w:rsidDel="00000000" w:rsidP="00000000" w:rsidRDefault="00000000" w:rsidRPr="00000000" w14:paraId="00000025">
      <w:pPr>
        <w:spacing w:line="245" w:lineRule="auto"/>
        <w:jc w:val="both"/>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Clinic Intern, </w:t>
      </w:r>
      <w:r w:rsidDel="00000000" w:rsidR="00000000" w:rsidRPr="00000000">
        <w:rPr>
          <w:rFonts w:ascii="Georgia" w:cs="Georgia" w:eastAsia="Georgia" w:hAnsi="Georgia"/>
          <w:sz w:val="24"/>
          <w:szCs w:val="24"/>
          <w:rtl w:val="0"/>
        </w:rPr>
        <w:t xml:space="preserve">August 2022 – December 2022</w:t>
      </w:r>
    </w:p>
    <w:p w:rsidR="00000000" w:rsidDel="00000000" w:rsidP="00000000" w:rsidRDefault="00000000" w:rsidRPr="00000000" w14:paraId="00000026">
      <w:pPr>
        <w:spacing w:line="276" w:lineRule="auto"/>
        <w:jc w:val="both"/>
        <w:rPr>
          <w:rFonts w:ascii="Georgia" w:cs="Georgia" w:eastAsia="Georgia" w:hAnsi="Georgia"/>
        </w:rPr>
      </w:pPr>
      <w:r w:rsidDel="00000000" w:rsidR="00000000" w:rsidRPr="00000000">
        <w:rPr>
          <w:rFonts w:ascii="Georgia" w:cs="Georgia" w:eastAsia="Georgia" w:hAnsi="Georgia"/>
          <w:sz w:val="24"/>
          <w:szCs w:val="24"/>
          <w:rtl w:val="0"/>
        </w:rPr>
        <w:t xml:space="preserve">Participated in a clinical experience representing clients suffering from disabilities in the area of probate and guardianships. Drafted petitions, letters, motions, and wills for pro bono clients. Acted as student legal counsel to real parties with the guidance of a supervising attorney. Interviewed, counseled, and represented clients on matters relating to guardianships, wills, and powers of attorney, in the Surrogate’s Court of Westchester County.</w:t>
      </w:r>
      <w:r w:rsidDel="00000000" w:rsidR="00000000" w:rsidRPr="00000000">
        <w:rPr>
          <w:rtl w:val="0"/>
        </w:rPr>
      </w:r>
    </w:p>
    <w:p w:rsidR="00000000" w:rsidDel="00000000" w:rsidP="00000000" w:rsidRDefault="00000000" w:rsidRPr="00000000" w14:paraId="00000027">
      <w:pPr>
        <w:jc w:val="both"/>
        <w:rPr>
          <w:rFonts w:ascii="Georgia" w:cs="Georgia" w:eastAsia="Georgia" w:hAnsi="Georgia"/>
          <w:b w:val="1"/>
          <w:sz w:val="16"/>
          <w:szCs w:val="16"/>
        </w:rPr>
      </w:pPr>
      <w:r w:rsidDel="00000000" w:rsidR="00000000" w:rsidRPr="00000000">
        <w:rPr>
          <w:rtl w:val="0"/>
        </w:rPr>
      </w:r>
    </w:p>
    <w:p w:rsidR="00000000" w:rsidDel="00000000" w:rsidP="00000000" w:rsidRDefault="00000000" w:rsidRPr="00000000" w14:paraId="00000028">
      <w:pPr>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Morris County Surrogate Court</w:t>
      </w:r>
      <w:r w:rsidDel="00000000" w:rsidR="00000000" w:rsidRPr="00000000">
        <w:rPr>
          <w:rFonts w:ascii="Georgia" w:cs="Georgia" w:eastAsia="Georgia" w:hAnsi="Georgia"/>
          <w:sz w:val="24"/>
          <w:szCs w:val="24"/>
          <w:rtl w:val="0"/>
        </w:rPr>
        <w:t xml:space="preserve">, Morristown, New Jersey</w:t>
      </w:r>
    </w:p>
    <w:p w:rsidR="00000000" w:rsidDel="00000000" w:rsidP="00000000" w:rsidRDefault="00000000" w:rsidRPr="00000000" w14:paraId="00000029">
      <w:pPr>
        <w:spacing w:line="245" w:lineRule="auto"/>
        <w:jc w:val="both"/>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Legal Intern, </w:t>
      </w:r>
      <w:r w:rsidDel="00000000" w:rsidR="00000000" w:rsidRPr="00000000">
        <w:rPr>
          <w:rFonts w:ascii="Georgia" w:cs="Georgia" w:eastAsia="Georgia" w:hAnsi="Georgia"/>
          <w:sz w:val="24"/>
          <w:szCs w:val="24"/>
          <w:rtl w:val="0"/>
        </w:rPr>
        <w:t xml:space="preserve">May 2021 - August 2021, May 2022 – August 2022</w:t>
      </w:r>
    </w:p>
    <w:p w:rsidR="00000000" w:rsidDel="00000000" w:rsidP="00000000" w:rsidRDefault="00000000" w:rsidRPr="00000000" w14:paraId="0000002A">
      <w:pPr>
        <w:spacing w:line="276"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Assisted Deputy Surrogate in preparing contested probate matters, including Will contests, Guardianship hearings, and Trust disputes before the Superior Court, Chancery Division, Probate Part. Drafted numerous memoranda concerning pending contested cases. Conducted research on New Jersey estate law and procedural law. Attended court hearings and witnessed other aspects of Estate litigation.</w:t>
      </w:r>
    </w:p>
    <w:p w:rsidR="00000000" w:rsidDel="00000000" w:rsidP="00000000" w:rsidRDefault="00000000" w:rsidRPr="00000000" w14:paraId="0000002B">
      <w:pPr>
        <w:spacing w:line="276"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C">
      <w:pPr>
        <w:pStyle w:val="Heading1"/>
        <w:spacing w:before="0" w:line="240" w:lineRule="auto"/>
        <w:ind w:left="0"/>
        <w:jc w:val="both"/>
        <w:rPr>
          <w:rFonts w:ascii="Georgia" w:cs="Georgia" w:eastAsia="Georgia" w:hAnsi="Georgia"/>
          <w:sz w:val="24"/>
          <w:szCs w:val="24"/>
        </w:rPr>
      </w:pPr>
      <w:bookmarkStart w:colFirst="0" w:colLast="0" w:name="_heading=h.jfmdvyfuwq4t" w:id="1"/>
      <w:bookmarkEnd w:id="1"/>
      <w:r w:rsidDel="00000000" w:rsidR="00000000" w:rsidRPr="00000000">
        <w:rPr>
          <w:rFonts w:ascii="Georgia" w:cs="Georgia" w:eastAsia="Georgia" w:hAnsi="Georgia"/>
          <w:sz w:val="24"/>
          <w:szCs w:val="24"/>
          <w:rtl w:val="0"/>
        </w:rPr>
        <w:t xml:space="preserve">Additional Experience</w:t>
      </w:r>
    </w:p>
    <w:p w:rsidR="00000000" w:rsidDel="00000000" w:rsidP="00000000" w:rsidRDefault="00000000" w:rsidRPr="00000000" w14:paraId="0000002D">
      <w:pPr>
        <w:rPr>
          <w:sz w:val="24"/>
          <w:szCs w:val="24"/>
        </w:rPr>
      </w:pPr>
      <w:r w:rsidDel="00000000" w:rsidR="00000000" w:rsidRPr="00000000">
        <w:rPr>
          <w:b w:val="1"/>
          <w:sz w:val="24"/>
          <w:szCs w:val="24"/>
          <w:rtl w:val="0"/>
        </w:rPr>
        <w:t xml:space="preserve">Justice Morris Pashman Inn of Court, </w:t>
      </w:r>
      <w:r w:rsidDel="00000000" w:rsidR="00000000" w:rsidRPr="00000000">
        <w:rPr>
          <w:i w:val="1"/>
          <w:sz w:val="24"/>
          <w:szCs w:val="24"/>
          <w:rtl w:val="0"/>
        </w:rPr>
        <w:t xml:space="preserve">Pupil,</w:t>
      </w:r>
      <w:r w:rsidDel="00000000" w:rsidR="00000000" w:rsidRPr="00000000">
        <w:rPr>
          <w:sz w:val="24"/>
          <w:szCs w:val="24"/>
          <w:rtl w:val="0"/>
        </w:rPr>
        <w:t xml:space="preserve"> September 2024 - Present</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rtl w:val="0"/>
        </w:rPr>
      </w:r>
    </w:p>
    <w:sectPr>
      <w:headerReference r:id="rId7" w:type="default"/>
      <w:pgSz w:h="15840" w:w="12240" w:orient="portrait"/>
      <w:pgMar w:bottom="108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alatino Linotype" w:cs="Palatino Linotype" w:eastAsia="Palatino Linotype" w:hAnsi="Palatino Linotype"/>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65" w:line="286" w:lineRule="auto"/>
      <w:ind w:left="100"/>
    </w:pPr>
    <w:rPr>
      <w:b w:val="1"/>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spacing w:before="165" w:line="286" w:lineRule="auto"/>
      <w:ind w:left="100"/>
      <w:outlineLvl w:val="0"/>
    </w:pPr>
    <w:rPr>
      <w:b w:val="1"/>
      <w:u w:val="single"/>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pOymkvE/L92GVsHusN/jrFIhvQ==">CgMxLjAyCGguZ2pkZ3hzMg5oLmpmbWR2eWZ1d3E0dDgAciExRU52anI5Z3lhTGszUkt5SG1DRmxYR0RQeWxuV1pMQXI=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2024-01-12T15:10:00Z</dcterms:created>
  <dc:creator>Nicholas Defuria</dc:creator>
</cp:coreProperties>
</file>