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E7A9" w14:textId="04230B92" w:rsidR="007E50E9" w:rsidRPr="00971A59" w:rsidRDefault="00971A59" w:rsidP="007E50E9">
      <w:pPr>
        <w:spacing w:after="0" w:line="240" w:lineRule="auto"/>
        <w:jc w:val="right"/>
        <w:rPr>
          <w:rFonts w:ascii="Avenir Next LT Pro" w:eastAsia="Gulim" w:hAnsi="Avenir Next LT Pro" w:cs="Segoe UI"/>
          <w:b/>
          <w:color w:val="FFFFFF"/>
          <w:kern w:val="0"/>
          <w:sz w:val="56"/>
          <w:szCs w:val="56"/>
          <w14:ligatures w14:val="none"/>
        </w:rPr>
      </w:pPr>
      <w:r w:rsidRPr="00971A59">
        <w:rPr>
          <w:rFonts w:ascii="Avenir Next LT Pro" w:eastAsia="Gulim" w:hAnsi="Avenir Next LT Pro" w:cs="Segoe UI"/>
          <w:b/>
          <w:color w:val="FFFFFF"/>
          <w:kern w:val="0"/>
          <w:sz w:val="56"/>
          <w:szCs w:val="56"/>
          <w:highlight w:val="green"/>
          <w14:ligatures w14:val="none"/>
        </w:rPr>
        <w:softHyphen/>
      </w:r>
      <w:r w:rsidRPr="00971A59">
        <w:rPr>
          <w:rFonts w:ascii="Avenir Next LT Pro" w:eastAsia="Gulim" w:hAnsi="Avenir Next LT Pro" w:cs="Segoe UI"/>
          <w:b/>
          <w:color w:val="FFFFFF"/>
          <w:kern w:val="0"/>
          <w:sz w:val="56"/>
          <w:szCs w:val="56"/>
          <w:highlight w:val="green"/>
          <w14:ligatures w14:val="none"/>
        </w:rPr>
        <w:softHyphen/>
      </w:r>
      <w:r w:rsidR="007E50E9" w:rsidRPr="007E50E9">
        <w:rPr>
          <w:rFonts w:ascii="Avenir Next LT Pro" w:eastAsia="Gulim" w:hAnsi="Avenir Next LT Pro" w:cs="Segoe UI"/>
          <w:b/>
          <w:color w:val="FFFFFF"/>
          <w:kern w:val="0"/>
          <w:sz w:val="56"/>
          <w:szCs w:val="56"/>
          <w14:ligatures w14:val="none"/>
        </w:rPr>
        <w:drawing>
          <wp:inline distT="0" distB="0" distL="0" distR="0" wp14:anchorId="599ACFA4" wp14:editId="3218E82D">
            <wp:extent cx="1679623" cy="1930400"/>
            <wp:effectExtent l="0" t="0" r="0" b="0"/>
            <wp:docPr id="1555670439" name="Picture 1" descr="A person wearing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70439" name="Picture 1" descr="A person wearing glasses smil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090" cy="1933235"/>
                    </a:xfrm>
                    <a:prstGeom prst="rect">
                      <a:avLst/>
                    </a:prstGeom>
                    <a:noFill/>
                    <a:ln>
                      <a:noFill/>
                    </a:ln>
                  </pic:spPr>
                </pic:pic>
              </a:graphicData>
            </a:graphic>
          </wp:inline>
        </w:drawing>
      </w:r>
      <w:r w:rsidR="007E50E9">
        <w:rPr>
          <w:rFonts w:ascii="Avenir Next LT Pro" w:eastAsia="Gulim" w:hAnsi="Avenir Next LT Pro" w:cs="Segoe UI"/>
          <w:b/>
          <w:color w:val="FFFFFF"/>
          <w:kern w:val="0"/>
          <w:sz w:val="56"/>
          <w:szCs w:val="56"/>
          <w14:ligatures w14:val="none"/>
        </w:rPr>
        <w:t xml:space="preserve">                 </w:t>
      </w:r>
      <w:r w:rsidR="007E50E9" w:rsidRPr="007E50E9">
        <w:rPr>
          <w:rFonts w:ascii="Avenir Next LT Pro" w:eastAsia="Gulim" w:hAnsi="Avenir Next LT Pro" w:cs="Segoe UI"/>
          <w:b/>
          <w:color w:val="FFFFFF"/>
          <w:kern w:val="0"/>
          <w:sz w:val="56"/>
          <w:szCs w:val="56"/>
          <w14:ligatures w14:val="none"/>
        </w:rPr>
        <w:t xml:space="preserve">   </w:t>
      </w:r>
      <w:r w:rsidR="007E50E9" w:rsidRPr="00971A59">
        <w:rPr>
          <w:rFonts w:ascii="Avenir Next LT Pro" w:eastAsia="Gulim" w:hAnsi="Avenir Next LT Pro" w:cs="Segoe UI"/>
          <w:b/>
          <w:color w:val="7030A0"/>
          <w:kern w:val="0"/>
          <w:sz w:val="56"/>
          <w:szCs w:val="56"/>
          <w14:ligatures w14:val="none"/>
        </w:rPr>
        <w:t>Dan Walter</w:t>
      </w:r>
    </w:p>
    <w:p w14:paraId="3E34092C" w14:textId="77777777" w:rsidR="007E50E9" w:rsidRPr="00971A59" w:rsidRDefault="007E50E9" w:rsidP="007E50E9">
      <w:pPr>
        <w:spacing w:after="0" w:line="240" w:lineRule="auto"/>
        <w:jc w:val="right"/>
        <w:rPr>
          <w:rFonts w:ascii="Avenir Next LT Pro" w:eastAsia="Gulim" w:hAnsi="Avenir Next LT Pro" w:cs="Segoe UI"/>
          <w:color w:val="808080"/>
          <w:kern w:val="0"/>
          <w:sz w:val="21"/>
          <w:szCs w:val="21"/>
          <w14:ligatures w14:val="none"/>
        </w:rPr>
      </w:pPr>
      <w:hyperlink r:id="rId6" w:history="1">
        <w:r w:rsidRPr="00971A59">
          <w:rPr>
            <w:rFonts w:ascii="Avenir Next LT Pro" w:eastAsia="Gulim" w:hAnsi="Avenir Next LT Pro" w:cs="Segoe UI"/>
            <w:color w:val="0563C1"/>
            <w:kern w:val="0"/>
            <w:sz w:val="21"/>
            <w:szCs w:val="21"/>
            <w:u w:val="single"/>
            <w14:ligatures w14:val="none"/>
          </w:rPr>
          <w:t>dan.walter@gmail.com</w:t>
        </w:r>
      </w:hyperlink>
      <w:r w:rsidRPr="00971A59">
        <w:rPr>
          <w:rFonts w:ascii="Avenir Next LT Pro" w:eastAsia="Gulim" w:hAnsi="Avenir Next LT Pro" w:cs="Segoe UI"/>
          <w:color w:val="808080"/>
          <w:kern w:val="0"/>
          <w:sz w:val="21"/>
          <w:szCs w:val="21"/>
          <w14:ligatures w14:val="none"/>
        </w:rPr>
        <w:t xml:space="preserve"> | </w:t>
      </w:r>
      <w:hyperlink r:id="rId7" w:history="1">
        <w:r w:rsidRPr="00971A59">
          <w:rPr>
            <w:rFonts w:ascii="Avenir Next LT Pro" w:eastAsia="Gulim" w:hAnsi="Avenir Next LT Pro" w:cs="Segoe UI"/>
            <w:color w:val="0563C1"/>
            <w:kern w:val="0"/>
            <w:sz w:val="21"/>
            <w:szCs w:val="21"/>
            <w:u w:val="single"/>
            <w14:ligatures w14:val="none"/>
          </w:rPr>
          <w:t>773-793-3440</w:t>
        </w:r>
      </w:hyperlink>
      <w:r w:rsidRPr="00971A59">
        <w:rPr>
          <w:rFonts w:ascii="Avenir Next LT Pro" w:eastAsia="Gulim" w:hAnsi="Avenir Next LT Pro" w:cs="Segoe UI"/>
          <w:color w:val="808080"/>
          <w:kern w:val="0"/>
          <w:sz w:val="21"/>
          <w:szCs w:val="21"/>
          <w14:ligatures w14:val="none"/>
        </w:rPr>
        <w:t xml:space="preserve"> </w:t>
      </w:r>
    </w:p>
    <w:p w14:paraId="6D50C176" w14:textId="77777777" w:rsidR="007E50E9" w:rsidRPr="00971A59" w:rsidRDefault="007E50E9" w:rsidP="007E50E9">
      <w:pPr>
        <w:spacing w:after="0" w:line="240" w:lineRule="auto"/>
        <w:jc w:val="right"/>
        <w:rPr>
          <w:rFonts w:ascii="Avenir Next LT Pro" w:eastAsia="Gulim" w:hAnsi="Avenir Next LT Pro" w:cs="Segoe UI"/>
          <w:color w:val="808080"/>
          <w:kern w:val="0"/>
          <w:sz w:val="21"/>
          <w:szCs w:val="21"/>
          <w14:ligatures w14:val="none"/>
        </w:rPr>
      </w:pPr>
      <w:hyperlink r:id="rId8" w:history="1">
        <w:r w:rsidRPr="00971A59">
          <w:rPr>
            <w:rFonts w:ascii="Avenir Next LT Pro" w:eastAsia="Gulim" w:hAnsi="Avenir Next LT Pro" w:cs="Segoe UI"/>
            <w:color w:val="0563C1"/>
            <w:kern w:val="0"/>
            <w:sz w:val="21"/>
            <w:szCs w:val="21"/>
            <w:u w:val="single"/>
            <w14:ligatures w14:val="none"/>
          </w:rPr>
          <w:t>linkedin.com/in/danwalter585</w:t>
        </w:r>
      </w:hyperlink>
    </w:p>
    <w:p w14:paraId="4E1ABBF6" w14:textId="11DFEC83" w:rsidR="007E50E9" w:rsidRDefault="007E50E9" w:rsidP="007E50E9">
      <w:pPr>
        <w:spacing w:after="0" w:line="240" w:lineRule="auto"/>
        <w:jc w:val="right"/>
        <w:rPr>
          <w:rFonts w:ascii="Avenir Next LT Pro" w:eastAsia="Gulim" w:hAnsi="Avenir Next LT Pro" w:cs="Segoe UI"/>
          <w:color w:val="808080"/>
          <w:kern w:val="0"/>
          <w:sz w:val="21"/>
          <w:szCs w:val="21"/>
          <w14:ligatures w14:val="none"/>
        </w:rPr>
      </w:pPr>
      <w:r w:rsidRPr="00971A59">
        <w:rPr>
          <w:rFonts w:ascii="Avenir Next LT Pro" w:eastAsia="Gulim" w:hAnsi="Avenir Next LT Pro" w:cs="Segoe UI"/>
          <w:color w:val="808080"/>
          <w:kern w:val="0"/>
          <w:sz w:val="21"/>
          <w:szCs w:val="21"/>
          <w14:ligatures w14:val="none"/>
        </w:rPr>
        <w:t>4157 N. Ashland Ave</w:t>
      </w:r>
      <w:r w:rsidRPr="00971A59">
        <w:rPr>
          <w:rFonts w:ascii="Avenir Next LT Pro" w:eastAsia="Gulim" w:hAnsi="Avenir Next LT Pro" w:cs="Segoe UI"/>
          <w:color w:val="808080"/>
          <w:kern w:val="0"/>
          <w:sz w:val="21"/>
          <w:szCs w:val="21"/>
          <w14:ligatures w14:val="none"/>
        </w:rPr>
        <w:br/>
      </w:r>
      <w:r>
        <w:rPr>
          <w:rFonts w:ascii="Avenir Next LT Pro" w:eastAsia="Gulim" w:hAnsi="Avenir Next LT Pro" w:cs="Segoe UI"/>
          <w:color w:val="808080"/>
          <w:kern w:val="0"/>
          <w:sz w:val="21"/>
          <w:szCs w:val="21"/>
          <w14:ligatures w14:val="none"/>
        </w:rPr>
        <w:t>C</w:t>
      </w:r>
      <w:r w:rsidRPr="00971A59">
        <w:rPr>
          <w:rFonts w:ascii="Avenir Next LT Pro" w:eastAsia="Gulim" w:hAnsi="Avenir Next LT Pro" w:cs="Segoe UI"/>
          <w:color w:val="808080"/>
          <w:kern w:val="0"/>
          <w:sz w:val="21"/>
          <w:szCs w:val="21"/>
          <w14:ligatures w14:val="none"/>
        </w:rPr>
        <w:t>hicago, IL 60613</w:t>
      </w:r>
    </w:p>
    <w:p w14:paraId="0EF1CA05" w14:textId="77777777" w:rsidR="007E50E9" w:rsidRPr="00971A59" w:rsidRDefault="007E50E9" w:rsidP="007E50E9">
      <w:pPr>
        <w:spacing w:after="0" w:line="240" w:lineRule="auto"/>
        <w:jc w:val="right"/>
        <w:rPr>
          <w:rFonts w:ascii="Avenir Next LT Pro" w:eastAsia="Gulim" w:hAnsi="Avenir Next LT Pro" w:cs="Segoe UI"/>
          <w:color w:val="808080"/>
          <w:kern w:val="0"/>
          <w:sz w:val="21"/>
          <w:szCs w:val="21"/>
          <w14:ligatures w14:val="none"/>
        </w:rPr>
      </w:pPr>
    </w:p>
    <w:p w14:paraId="71FD7100" w14:textId="7F3F1516" w:rsidR="007E50E9" w:rsidRPr="007E50E9" w:rsidRDefault="007E50E9" w:rsidP="007E50E9">
      <w:pPr>
        <w:spacing w:after="0" w:line="240" w:lineRule="auto"/>
        <w:rPr>
          <w:rFonts w:ascii="Avenir Next LT Pro" w:eastAsia="Gulim" w:hAnsi="Avenir Next LT Pro" w:cs="Segoe UI"/>
          <w:bCs/>
          <w:i/>
          <w:iCs/>
          <w:color w:val="FFFFFF"/>
          <w:kern w:val="0"/>
          <w:highlight w:val="green"/>
          <w14:ligatures w14:val="none"/>
        </w:rPr>
      </w:pPr>
      <w:r w:rsidRPr="007E50E9">
        <w:rPr>
          <w:rFonts w:ascii="Avenir Next LT Pro" w:eastAsia="Gulim" w:hAnsi="Avenir Next LT Pro" w:cs="Segoe UI"/>
          <w:bCs/>
          <w:i/>
          <w:iCs/>
          <w:color w:val="FFFFFF"/>
          <w:kern w:val="0"/>
          <w:highlight w:val="green"/>
          <w14:ligatures w14:val="none"/>
        </w:rPr>
        <w:t>Professional resume below</w:t>
      </w:r>
      <w:r>
        <w:rPr>
          <w:rFonts w:ascii="Avenir Next LT Pro" w:eastAsia="Gulim" w:hAnsi="Avenir Next LT Pro" w:cs="Segoe UI"/>
          <w:bCs/>
          <w:i/>
          <w:iCs/>
          <w:color w:val="FFFFFF"/>
          <w:kern w:val="0"/>
          <w:highlight w:val="green"/>
          <w14:ligatures w14:val="none"/>
        </w:rPr>
        <w:t>, a</w:t>
      </w:r>
      <w:r w:rsidRPr="007E50E9">
        <w:rPr>
          <w:rFonts w:ascii="Avenir Next LT Pro" w:eastAsia="Gulim" w:hAnsi="Avenir Next LT Pro" w:cs="Segoe UI"/>
          <w:bCs/>
          <w:i/>
          <w:iCs/>
          <w:color w:val="FFFFFF"/>
          <w:kern w:val="0"/>
          <w:highlight w:val="green"/>
          <w14:ligatures w14:val="none"/>
        </w:rPr>
        <w:t xml:space="preserve">lso has experience in screenwriting and comedy. </w:t>
      </w:r>
    </w:p>
    <w:p w14:paraId="2F8EB065" w14:textId="77777777" w:rsidR="00971A59" w:rsidRPr="00971A59" w:rsidRDefault="00971A59" w:rsidP="00971A59">
      <w:pPr>
        <w:spacing w:after="0" w:line="240" w:lineRule="auto"/>
        <w:rPr>
          <w:rFonts w:ascii="Avenir Next LT Pro" w:eastAsia="Gulim" w:hAnsi="Avenir Next LT Pro" w:cs="Segoe UI"/>
          <w:color w:val="FFFFFF"/>
          <w:kern w:val="0"/>
          <w:sz w:val="28"/>
          <w:highlight w:val="darkBlue"/>
          <w14:ligatures w14:val="none"/>
        </w:rPr>
      </w:pPr>
    </w:p>
    <w:p w14:paraId="1011D010" w14:textId="77777777" w:rsidR="00971A59" w:rsidRPr="00971A59" w:rsidRDefault="00971A59" w:rsidP="00971A59">
      <w:pPr>
        <w:spacing w:after="0" w:line="240" w:lineRule="auto"/>
        <w:rPr>
          <w:rFonts w:ascii="Avenir Next LT Pro" w:eastAsia="Gulim" w:hAnsi="Avenir Next LT Pro" w:cs="Segoe UI"/>
          <w:color w:val="FFFFFF"/>
          <w:kern w:val="0"/>
          <w:sz w:val="28"/>
          <w14:ligatures w14:val="none"/>
        </w:rPr>
      </w:pPr>
      <w:r w:rsidRPr="00971A59">
        <w:rPr>
          <w:rFonts w:ascii="Avenir Next LT Pro" w:eastAsia="Gulim" w:hAnsi="Avenir Next LT Pro" w:cs="Segoe UI"/>
          <w:color w:val="FFFFFF"/>
          <w:kern w:val="0"/>
          <w:sz w:val="28"/>
          <w:highlight w:val="darkBlue"/>
          <w14:ligatures w14:val="none"/>
        </w:rPr>
        <w:t>Expertise</w:t>
      </w:r>
    </w:p>
    <w:p w14:paraId="1667A03A"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0"/>
          <w:szCs w:val="20"/>
          <w14:ligatures w14:val="none"/>
        </w:rPr>
        <w:sectPr w:rsidR="00971A59" w:rsidRPr="00971A59" w:rsidSect="00971A59">
          <w:pgSz w:w="12240" w:h="15840"/>
          <w:pgMar w:top="1440" w:right="1800" w:bottom="1440" w:left="1800" w:header="432" w:footer="432" w:gutter="0"/>
          <w:cols w:space="720"/>
          <w:docGrid w:linePitch="326"/>
        </w:sectPr>
      </w:pPr>
    </w:p>
    <w:p w14:paraId="207A7D35"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Federal/state health care policy</w:t>
      </w:r>
    </w:p>
    <w:p w14:paraId="16220D35"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Advocacy planning and strategy</w:t>
      </w:r>
    </w:p>
    <w:p w14:paraId="33617183"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 xml:space="preserve">Staff management </w:t>
      </w:r>
    </w:p>
    <w:p w14:paraId="3C4C7E77"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Public affairs content creation</w:t>
      </w:r>
    </w:p>
    <w:p w14:paraId="5D9C66D5"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Relationship/coalition building</w:t>
      </w:r>
    </w:p>
    <w:p w14:paraId="5421DDC8" w14:textId="77777777" w:rsidR="00971A59" w:rsidRPr="00971A59" w:rsidRDefault="00971A59" w:rsidP="00971A59">
      <w:pPr>
        <w:numPr>
          <w:ilvl w:val="0"/>
          <w:numId w:val="4"/>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Grant and budget management</w:t>
      </w:r>
    </w:p>
    <w:p w14:paraId="32462AC8" w14:textId="77777777" w:rsidR="00971A59" w:rsidRPr="00971A59" w:rsidRDefault="00971A59" w:rsidP="00971A59">
      <w:pPr>
        <w:spacing w:after="0" w:line="240" w:lineRule="auto"/>
        <w:rPr>
          <w:rFonts w:ascii="Avenir Next LT Pro" w:eastAsia="Gulim" w:hAnsi="Avenir Next LT Pro" w:cs="Segoe UI"/>
          <w:color w:val="B10390"/>
          <w:kern w:val="0"/>
          <w:sz w:val="21"/>
          <w:szCs w:val="21"/>
          <w14:ligatures w14:val="none"/>
        </w:rPr>
        <w:sectPr w:rsidR="00971A59" w:rsidRPr="00971A59" w:rsidSect="00971A59">
          <w:type w:val="continuous"/>
          <w:pgSz w:w="12240" w:h="15840"/>
          <w:pgMar w:top="1440" w:right="1800" w:bottom="1440" w:left="1800" w:header="720" w:footer="720" w:gutter="0"/>
          <w:cols w:num="2" w:space="720"/>
        </w:sectPr>
      </w:pPr>
    </w:p>
    <w:p w14:paraId="48E40E6D" w14:textId="77777777" w:rsidR="00971A59" w:rsidRPr="00971A59" w:rsidRDefault="00971A59" w:rsidP="00971A59">
      <w:pPr>
        <w:spacing w:after="0" w:line="240" w:lineRule="auto"/>
        <w:rPr>
          <w:rFonts w:ascii="Avenir Next LT Pro" w:eastAsia="Gulim" w:hAnsi="Avenir Next LT Pro" w:cs="Segoe UI"/>
          <w:color w:val="B10390"/>
          <w:kern w:val="0"/>
          <w14:ligatures w14:val="none"/>
        </w:rPr>
      </w:pPr>
    </w:p>
    <w:p w14:paraId="700A4848" w14:textId="77777777" w:rsidR="00971A59" w:rsidRPr="00971A59" w:rsidRDefault="00971A59" w:rsidP="00971A59">
      <w:pPr>
        <w:spacing w:after="0" w:line="240" w:lineRule="auto"/>
        <w:rPr>
          <w:rFonts w:ascii="Avenir Next LT Pro" w:eastAsia="Gulim" w:hAnsi="Avenir Next LT Pro" w:cs="Segoe UI"/>
          <w:color w:val="FFFFFF"/>
          <w:kern w:val="0"/>
          <w:sz w:val="28"/>
          <w14:ligatures w14:val="none"/>
        </w:rPr>
      </w:pPr>
      <w:r w:rsidRPr="00971A59">
        <w:rPr>
          <w:rFonts w:ascii="Avenir Next LT Pro" w:eastAsia="Gulim" w:hAnsi="Avenir Next LT Pro" w:cs="Segoe UI"/>
          <w:color w:val="FFFFFF"/>
          <w:kern w:val="0"/>
          <w:sz w:val="28"/>
          <w:highlight w:val="darkBlue"/>
          <w14:ligatures w14:val="none"/>
        </w:rPr>
        <w:t>Experience</w:t>
      </w:r>
    </w:p>
    <w:p w14:paraId="5583E672" w14:textId="77777777" w:rsidR="00971A59" w:rsidRPr="00971A59" w:rsidRDefault="00971A59" w:rsidP="00971A59">
      <w:pPr>
        <w:spacing w:after="0" w:line="240" w:lineRule="auto"/>
        <w:rPr>
          <w:rFonts w:ascii="Avenir Next LT Pro" w:eastAsia="Gulim" w:hAnsi="Avenir Next LT Pro" w:cs="Segoe UI"/>
          <w:kern w:val="0"/>
          <w14:ligatures w14:val="none"/>
        </w:rPr>
      </w:pPr>
      <w:r w:rsidRPr="00971A59">
        <w:rPr>
          <w:rFonts w:ascii="Avenir Next LT Pro" w:eastAsia="Gulim" w:hAnsi="Avenir Next LT Pro" w:cs="Segoe UI"/>
          <w:kern w:val="0"/>
          <w14:ligatures w14:val="none"/>
        </w:rPr>
        <w:t>Senior Policy &amp; Government Affairs Analyst</w:t>
      </w:r>
    </w:p>
    <w:p w14:paraId="402C79A8" w14:textId="77777777" w:rsidR="00971A59" w:rsidRPr="00971A59" w:rsidRDefault="00971A59" w:rsidP="00971A59">
      <w:pPr>
        <w:spacing w:after="0" w:line="240" w:lineRule="auto"/>
        <w:rPr>
          <w:rFonts w:ascii="Avenir Next LT Pro" w:eastAsia="Gulim" w:hAnsi="Avenir Next LT Pro" w:cs="Segoe UI"/>
          <w:color w:val="808080"/>
          <w:kern w:val="0"/>
          <w:sz w:val="20"/>
          <w14:ligatures w14:val="none"/>
        </w:rPr>
      </w:pPr>
      <w:r w:rsidRPr="00971A59">
        <w:rPr>
          <w:rFonts w:ascii="Avenir Next LT Pro" w:eastAsia="Gulim" w:hAnsi="Avenir Next LT Pro" w:cs="Segoe UI"/>
          <w:color w:val="808080"/>
          <w:kern w:val="0"/>
          <w:sz w:val="20"/>
          <w14:ligatures w14:val="none"/>
        </w:rPr>
        <w:t>American Academy of Pediatrics (AAP)</w:t>
      </w:r>
    </w:p>
    <w:p w14:paraId="0543FE7F" w14:textId="77777777" w:rsidR="00971A59" w:rsidRPr="00971A59" w:rsidRDefault="00971A59" w:rsidP="00971A59">
      <w:pPr>
        <w:spacing w:after="0" w:line="240" w:lineRule="auto"/>
        <w:rPr>
          <w:rFonts w:ascii="Avenir Next LT Pro" w:eastAsia="Gulim" w:hAnsi="Avenir Next LT Pro" w:cs="Segoe UI"/>
          <w:color w:val="808080"/>
          <w:kern w:val="0"/>
          <w:sz w:val="20"/>
          <w14:ligatures w14:val="none"/>
        </w:rPr>
      </w:pPr>
      <w:r w:rsidRPr="00971A59">
        <w:rPr>
          <w:rFonts w:ascii="Avenir Next LT Pro" w:eastAsia="Gulim" w:hAnsi="Avenir Next LT Pro" w:cs="Segoe UI"/>
          <w:color w:val="808080"/>
          <w:kern w:val="0"/>
          <w:sz w:val="20"/>
          <w14:ligatures w14:val="none"/>
        </w:rPr>
        <w:t>State Advocacy | Itasca, IL | 2000-Present</w:t>
      </w:r>
    </w:p>
    <w:p w14:paraId="1C870729" w14:textId="77777777" w:rsidR="00971A59" w:rsidRPr="00971A59" w:rsidRDefault="00971A59" w:rsidP="00971A59">
      <w:pPr>
        <w:spacing w:before="120"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Senior advocacy and policy advisor to the AAP, all state AAP chapters, AAP policy and advocacy committees, leadership, membership, and national offices. Ongoing responsibilities include:</w:t>
      </w:r>
    </w:p>
    <w:p w14:paraId="032A6C24" w14:textId="77777777" w:rsidR="00971A59" w:rsidRPr="00971A59" w:rsidRDefault="00971A59" w:rsidP="00971A59">
      <w:pPr>
        <w:numPr>
          <w:ilvl w:val="0"/>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Working together with advocacy and policy centers of the Academy to actively navigate and counsel state AAP chapters on portfolio of policy issues, including:</w:t>
      </w:r>
    </w:p>
    <w:p w14:paraId="0D83560E" w14:textId="77777777" w:rsidR="00971A59" w:rsidRPr="00971A59" w:rsidRDefault="00971A59" w:rsidP="00971A59">
      <w:pPr>
        <w:numPr>
          <w:ilvl w:val="1"/>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Strengthening and protecting Medicaid, the Children’s Health Insurance Program (CHIP), the Affordable Care Act (ACA), and other health care financing programs, often during budget duress. Other portfolio issues include private insurance regulation, vaccine financing, telehealth care, mental health, oral health, and others.</w:t>
      </w:r>
    </w:p>
    <w:p w14:paraId="02891AAD" w14:textId="77777777" w:rsidR="00971A59" w:rsidRPr="00971A59" w:rsidRDefault="00971A59" w:rsidP="00971A59">
      <w:pPr>
        <w:numPr>
          <w:ilvl w:val="1"/>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 xml:space="preserve">Spreading policy innovations and related ideas for advocacy, such as Medicaid payment for </w:t>
      </w:r>
      <w:proofErr w:type="gramStart"/>
      <w:r w:rsidRPr="00971A59">
        <w:rPr>
          <w:rFonts w:ascii="Avenir Next LT Pro" w:eastAsia="Gulim" w:hAnsi="Avenir Next LT Pro" w:cs="Segoe UI"/>
          <w:kern w:val="0"/>
          <w:sz w:val="21"/>
          <w:szCs w:val="21"/>
          <w14:ligatures w14:val="none"/>
        </w:rPr>
        <w:t>health related</w:t>
      </w:r>
      <w:proofErr w:type="gramEnd"/>
      <w:r w:rsidRPr="00971A59">
        <w:rPr>
          <w:rFonts w:ascii="Avenir Next LT Pro" w:eastAsia="Gulim" w:hAnsi="Avenir Next LT Pro" w:cs="Segoe UI"/>
          <w:kern w:val="0"/>
          <w:sz w:val="21"/>
          <w:szCs w:val="21"/>
          <w14:ligatures w14:val="none"/>
        </w:rPr>
        <w:t xml:space="preserve"> social needs (nutrition, housing, others), firearm counseling</w:t>
      </w:r>
      <w:proofErr w:type="gramStart"/>
      <w:r w:rsidRPr="00971A59">
        <w:rPr>
          <w:rFonts w:ascii="Avenir Next LT Pro" w:eastAsia="Gulim" w:hAnsi="Avenir Next LT Pro" w:cs="Segoe UI"/>
          <w:kern w:val="0"/>
          <w:sz w:val="21"/>
          <w:szCs w:val="21"/>
          <w14:ligatures w14:val="none"/>
        </w:rPr>
        <w:t>, justice</w:t>
      </w:r>
      <w:proofErr w:type="gramEnd"/>
      <w:r w:rsidRPr="00971A59">
        <w:rPr>
          <w:rFonts w:ascii="Avenir Next LT Pro" w:eastAsia="Gulim" w:hAnsi="Avenir Next LT Pro" w:cs="Segoe UI"/>
          <w:kern w:val="0"/>
          <w:sz w:val="21"/>
          <w:szCs w:val="21"/>
          <w14:ligatures w14:val="none"/>
        </w:rPr>
        <w:t xml:space="preserve"> involved youth.</w:t>
      </w:r>
    </w:p>
    <w:p w14:paraId="60D1232E" w14:textId="77777777" w:rsidR="00971A59" w:rsidRPr="00971A59" w:rsidRDefault="00971A59" w:rsidP="00971A59">
      <w:pPr>
        <w:numPr>
          <w:ilvl w:val="1"/>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Advising national committees on the creation of AAP policy, as well as policy implications for advocacy.</w:t>
      </w:r>
    </w:p>
    <w:p w14:paraId="523F8EBA" w14:textId="77777777" w:rsidR="00971A59" w:rsidRPr="00971A59" w:rsidRDefault="00971A59" w:rsidP="00971A59">
      <w:pPr>
        <w:numPr>
          <w:ilvl w:val="1"/>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Leading analyses of state/federal legislation, regulations, guidance, and court decisions; advising state and federal action on portfolio issues.</w:t>
      </w:r>
    </w:p>
    <w:p w14:paraId="6B535F71" w14:textId="77777777" w:rsidR="00971A59" w:rsidRPr="00971A59" w:rsidRDefault="00971A59" w:rsidP="00971A59">
      <w:pPr>
        <w:numPr>
          <w:ilvl w:val="1"/>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 xml:space="preserve">Collaborating with AAP Federal Advocacy on strategy to influence federal legislation, regulations, guidance, and the implementation of the federal </w:t>
      </w:r>
      <w:r w:rsidRPr="00971A59">
        <w:rPr>
          <w:rFonts w:ascii="Avenir Next LT Pro" w:eastAsia="Gulim" w:hAnsi="Avenir Next LT Pro" w:cs="Segoe UI"/>
          <w:kern w:val="0"/>
          <w:sz w:val="21"/>
          <w:szCs w:val="21"/>
          <w14:ligatures w14:val="none"/>
        </w:rPr>
        <w:lastRenderedPageBreak/>
        <w:t>programs at the state level. This includes activating state advocates for key stakeholder engagement at the federal level.</w:t>
      </w:r>
    </w:p>
    <w:p w14:paraId="78816523" w14:textId="77777777" w:rsidR="00971A59" w:rsidRPr="00971A59" w:rsidRDefault="00971A59" w:rsidP="00971A59">
      <w:pPr>
        <w:numPr>
          <w:ilvl w:val="0"/>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Managing full-time analyst, part-time consultant (previous), oral health grant project (previous); ensuring grant deliverables are met on time and on budget.</w:t>
      </w:r>
    </w:p>
    <w:p w14:paraId="1711EFEC" w14:textId="77777777" w:rsidR="00971A59" w:rsidRPr="00971A59" w:rsidRDefault="00971A59" w:rsidP="00971A59">
      <w:pPr>
        <w:numPr>
          <w:ilvl w:val="0"/>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Representing the AAP to outside organizations, grant and coalition partners, and other entities; presenting on policy issues and trends.</w:t>
      </w:r>
    </w:p>
    <w:p w14:paraId="262DDC1F" w14:textId="77777777" w:rsidR="00971A59" w:rsidRPr="00971A59" w:rsidRDefault="00971A59" w:rsidP="00971A59">
      <w:pPr>
        <w:numPr>
          <w:ilvl w:val="0"/>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Developing advocacy and public affairs resources, including issue briefs, e-updates, testimony, infographics, etc.</w:t>
      </w:r>
    </w:p>
    <w:p w14:paraId="48624B42" w14:textId="77777777" w:rsidR="00971A59" w:rsidRPr="00971A59" w:rsidRDefault="00971A59" w:rsidP="00971A59">
      <w:pPr>
        <w:numPr>
          <w:ilvl w:val="0"/>
          <w:numId w:val="1"/>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Planning and hosting annual advocacy conferences (logistics and content).</w:t>
      </w:r>
    </w:p>
    <w:p w14:paraId="7DEDED14" w14:textId="77777777" w:rsidR="00971A59" w:rsidRPr="00971A59" w:rsidRDefault="00971A59" w:rsidP="00971A59">
      <w:pPr>
        <w:spacing w:after="0" w:line="240" w:lineRule="auto"/>
        <w:ind w:left="720"/>
        <w:rPr>
          <w:rFonts w:ascii="Avenir Next LT Pro" w:eastAsia="Gulim" w:hAnsi="Avenir Next LT Pro" w:cs="Segoe UI"/>
          <w:kern w:val="0"/>
          <w:sz w:val="20"/>
          <w14:ligatures w14:val="none"/>
        </w:rPr>
      </w:pPr>
    </w:p>
    <w:p w14:paraId="2BAD0AC2" w14:textId="77777777" w:rsidR="00971A59" w:rsidRPr="00971A59" w:rsidRDefault="00971A59" w:rsidP="00971A59">
      <w:pPr>
        <w:spacing w:after="0" w:line="240" w:lineRule="auto"/>
        <w:rPr>
          <w:rFonts w:ascii="Avenir Next LT Pro" w:eastAsia="Gulim" w:hAnsi="Avenir Next LT Pro" w:cs="Segoe UI"/>
          <w:kern w:val="0"/>
          <w:sz w:val="20"/>
          <w14:ligatures w14:val="none"/>
        </w:rPr>
      </w:pPr>
      <w:r w:rsidRPr="00971A59">
        <w:rPr>
          <w:rFonts w:ascii="Avenir Next LT Pro" w:eastAsia="Gulim" w:hAnsi="Avenir Next LT Pro" w:cs="Segoe UI"/>
          <w:kern w:val="0"/>
          <w14:ligatures w14:val="none"/>
        </w:rPr>
        <w:t>Legislative Analyst</w:t>
      </w:r>
      <w:r w:rsidRPr="00971A59">
        <w:rPr>
          <w:rFonts w:ascii="Avenir Next LT Pro" w:eastAsia="Gulim" w:hAnsi="Avenir Next LT Pro" w:cs="Segoe UI"/>
          <w:kern w:val="0"/>
          <w14:ligatures w14:val="none"/>
        </w:rPr>
        <w:br/>
      </w:r>
      <w:r w:rsidRPr="00971A59">
        <w:rPr>
          <w:rFonts w:ascii="Avenir Next LT Pro" w:eastAsia="Gulim" w:hAnsi="Avenir Next LT Pro" w:cs="Segoe UI"/>
          <w:color w:val="808080"/>
          <w:kern w:val="0"/>
          <w:sz w:val="20"/>
          <w:szCs w:val="20"/>
          <w14:ligatures w14:val="none"/>
        </w:rPr>
        <w:t>American Osteopathic Association (AOA)</w:t>
      </w:r>
    </w:p>
    <w:p w14:paraId="28827CEF" w14:textId="77777777" w:rsidR="00971A59" w:rsidRPr="00971A59" w:rsidRDefault="00971A59" w:rsidP="00971A59">
      <w:pPr>
        <w:spacing w:after="0" w:line="240" w:lineRule="auto"/>
        <w:rPr>
          <w:rFonts w:ascii="Avenir Next LT Pro" w:eastAsia="Gulim" w:hAnsi="Avenir Next LT Pro" w:cs="Segoe UI"/>
          <w:color w:val="999999"/>
          <w:kern w:val="0"/>
          <w:sz w:val="20"/>
          <w14:ligatures w14:val="none"/>
        </w:rPr>
      </w:pPr>
      <w:r w:rsidRPr="00971A59">
        <w:rPr>
          <w:rFonts w:ascii="Avenir Next LT Pro" w:eastAsia="Gulim" w:hAnsi="Avenir Next LT Pro" w:cs="Segoe UI"/>
          <w:color w:val="999999"/>
          <w:kern w:val="0"/>
          <w:sz w:val="20"/>
          <w14:ligatures w14:val="none"/>
        </w:rPr>
        <w:t>Department of State and Socioeconomic Affairs | Chicago, IL | 1997-2000</w:t>
      </w:r>
    </w:p>
    <w:p w14:paraId="30FFA91A" w14:textId="77777777" w:rsidR="00971A59" w:rsidRPr="00971A59" w:rsidRDefault="00971A59" w:rsidP="00971A59">
      <w:p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 xml:space="preserve">Legislative analyst counseling state affiliates nationwide on achieving organizational policy goals.  Responsibilities: </w:t>
      </w:r>
    </w:p>
    <w:p w14:paraId="5B0720D6" w14:textId="77777777" w:rsidR="00971A59" w:rsidRPr="00971A59" w:rsidRDefault="00971A59" w:rsidP="00971A59">
      <w:pPr>
        <w:numPr>
          <w:ilvl w:val="0"/>
          <w:numId w:val="2"/>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Worked to directly influence state legislation toward goals of the AOA, with specific focus in managed care regulation, physician licensure, and hospital accreditation.</w:t>
      </w:r>
    </w:p>
    <w:p w14:paraId="3B839C24" w14:textId="77777777" w:rsidR="00971A59" w:rsidRPr="00971A59" w:rsidRDefault="00971A59" w:rsidP="00971A59">
      <w:pPr>
        <w:numPr>
          <w:ilvl w:val="0"/>
          <w:numId w:val="2"/>
        </w:numPr>
        <w:spacing w:after="0" w:line="240" w:lineRule="auto"/>
        <w:rPr>
          <w:rFonts w:ascii="Avenir Next LT Pro" w:eastAsia="Gulim" w:hAnsi="Avenir Next LT Pro" w:cs="Segoe UI"/>
          <w:kern w:val="0"/>
          <w:sz w:val="21"/>
          <w:szCs w:val="21"/>
          <w14:ligatures w14:val="none"/>
        </w:rPr>
      </w:pPr>
      <w:proofErr w:type="spellStart"/>
      <w:r w:rsidRPr="00971A59">
        <w:rPr>
          <w:rFonts w:ascii="Avenir Next LT Pro" w:eastAsia="Gulim" w:hAnsi="Avenir Next LT Pro" w:cs="Segoe UI"/>
          <w:kern w:val="0"/>
          <w:sz w:val="21"/>
          <w:szCs w:val="21"/>
          <w14:ligatures w14:val="none"/>
        </w:rPr>
        <w:t>Devealoped</w:t>
      </w:r>
      <w:proofErr w:type="spellEnd"/>
      <w:r w:rsidRPr="00971A59">
        <w:rPr>
          <w:rFonts w:ascii="Avenir Next LT Pro" w:eastAsia="Gulim" w:hAnsi="Avenir Next LT Pro" w:cs="Segoe UI"/>
          <w:kern w:val="0"/>
          <w:sz w:val="21"/>
          <w:szCs w:val="21"/>
          <w14:ligatures w14:val="none"/>
        </w:rPr>
        <w:t xml:space="preserve"> advocacy resources for state society use.</w:t>
      </w:r>
    </w:p>
    <w:p w14:paraId="4309E838" w14:textId="77777777" w:rsidR="00971A59" w:rsidRPr="00971A59" w:rsidRDefault="00971A59" w:rsidP="00971A59">
      <w:pPr>
        <w:numPr>
          <w:ilvl w:val="0"/>
          <w:numId w:val="2"/>
        </w:num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Managed intern program.</w:t>
      </w:r>
    </w:p>
    <w:p w14:paraId="6E1E8FB2" w14:textId="77777777" w:rsidR="00971A59" w:rsidRPr="00971A59" w:rsidRDefault="00971A59" w:rsidP="00971A59">
      <w:pPr>
        <w:spacing w:after="0" w:line="240" w:lineRule="auto"/>
        <w:rPr>
          <w:rFonts w:ascii="Avenir Next LT Pro" w:eastAsia="Gulim" w:hAnsi="Avenir Next LT Pro" w:cs="Segoe UI"/>
          <w:kern w:val="0"/>
          <w14:ligatures w14:val="none"/>
        </w:rPr>
      </w:pPr>
    </w:p>
    <w:p w14:paraId="257B9A53" w14:textId="77777777" w:rsidR="00971A59" w:rsidRPr="00971A59" w:rsidRDefault="00971A59" w:rsidP="00971A59">
      <w:pPr>
        <w:spacing w:after="0" w:line="240" w:lineRule="auto"/>
        <w:rPr>
          <w:rFonts w:ascii="Avenir Next LT Pro" w:eastAsia="Gulim" w:hAnsi="Avenir Next LT Pro" w:cs="Segoe UI"/>
          <w:kern w:val="0"/>
          <w:sz w:val="20"/>
          <w14:ligatures w14:val="none"/>
        </w:rPr>
      </w:pPr>
      <w:r w:rsidRPr="00971A59">
        <w:rPr>
          <w:rFonts w:ascii="Avenir Next LT Pro" w:eastAsia="Gulim" w:hAnsi="Avenir Next LT Pro" w:cs="Segoe UI"/>
          <w:kern w:val="0"/>
          <w14:ligatures w14:val="none"/>
        </w:rPr>
        <w:t>Intern</w:t>
      </w:r>
      <w:r w:rsidRPr="00971A59">
        <w:rPr>
          <w:rFonts w:ascii="Avenir Next LT Pro" w:eastAsia="Gulim" w:hAnsi="Avenir Next LT Pro" w:cs="Segoe UI"/>
          <w:kern w:val="0"/>
          <w14:ligatures w14:val="none"/>
        </w:rPr>
        <w:br/>
      </w:r>
      <w:r w:rsidRPr="00971A59">
        <w:rPr>
          <w:rFonts w:ascii="Avenir Next LT Pro" w:eastAsia="Gulim" w:hAnsi="Avenir Next LT Pro" w:cs="Segoe UI"/>
          <w:color w:val="999999"/>
          <w:kern w:val="0"/>
          <w:sz w:val="20"/>
          <w:szCs w:val="20"/>
          <w14:ligatures w14:val="none"/>
        </w:rPr>
        <w:t xml:space="preserve">US Congressperson William O. </w:t>
      </w:r>
      <w:proofErr w:type="spellStart"/>
      <w:r w:rsidRPr="00971A59">
        <w:rPr>
          <w:rFonts w:ascii="Avenir Next LT Pro" w:eastAsia="Gulim" w:hAnsi="Avenir Next LT Pro" w:cs="Segoe UI"/>
          <w:color w:val="999999"/>
          <w:kern w:val="0"/>
          <w:sz w:val="20"/>
          <w:szCs w:val="20"/>
          <w14:ligatures w14:val="none"/>
        </w:rPr>
        <w:t>Lipinksi</w:t>
      </w:r>
      <w:proofErr w:type="spellEnd"/>
      <w:r w:rsidRPr="00971A59">
        <w:rPr>
          <w:rFonts w:ascii="Avenir Next LT Pro" w:eastAsia="Gulim" w:hAnsi="Avenir Next LT Pro" w:cs="Segoe UI"/>
          <w:kern w:val="0"/>
          <w:sz w:val="20"/>
          <w:szCs w:val="20"/>
          <w14:ligatures w14:val="none"/>
        </w:rPr>
        <w:t xml:space="preserve"> </w:t>
      </w:r>
    </w:p>
    <w:p w14:paraId="11DC22F8" w14:textId="77777777" w:rsidR="00971A59" w:rsidRPr="00971A59" w:rsidRDefault="00971A59" w:rsidP="00971A59">
      <w:pPr>
        <w:spacing w:after="0" w:line="240" w:lineRule="auto"/>
        <w:rPr>
          <w:rFonts w:ascii="Avenir Next LT Pro" w:eastAsia="Gulim" w:hAnsi="Avenir Next LT Pro" w:cs="Segoe UI"/>
          <w:color w:val="999999"/>
          <w:kern w:val="0"/>
          <w:sz w:val="20"/>
          <w14:ligatures w14:val="none"/>
        </w:rPr>
      </w:pPr>
      <w:r w:rsidRPr="00971A59">
        <w:rPr>
          <w:rFonts w:ascii="Avenir Next LT Pro" w:eastAsia="Gulim" w:hAnsi="Avenir Next LT Pro" w:cs="Segoe UI"/>
          <w:color w:val="999999"/>
          <w:kern w:val="0"/>
          <w:sz w:val="20"/>
          <w14:ligatures w14:val="none"/>
        </w:rPr>
        <w:t>Washington, DC | May-August 1997</w:t>
      </w:r>
    </w:p>
    <w:p w14:paraId="45363C24" w14:textId="77777777" w:rsidR="00971A59" w:rsidRPr="00971A59" w:rsidRDefault="00971A59" w:rsidP="00971A59">
      <w:p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Congressional intern in office of former Representative William Lipinski. Activities included speech writing, issue brief development, committee hearing reporting, and constituent casework.</w:t>
      </w:r>
    </w:p>
    <w:p w14:paraId="4CAE05D2" w14:textId="77777777" w:rsidR="00971A59" w:rsidRPr="00971A59" w:rsidRDefault="00971A59" w:rsidP="00971A59">
      <w:pPr>
        <w:spacing w:after="0" w:line="240" w:lineRule="auto"/>
        <w:rPr>
          <w:rFonts w:ascii="Avenir Next LT Pro" w:eastAsia="Gulim" w:hAnsi="Avenir Next LT Pro" w:cs="Segoe UI"/>
          <w:color w:val="B10390"/>
          <w:kern w:val="0"/>
          <w14:ligatures w14:val="none"/>
        </w:rPr>
      </w:pPr>
    </w:p>
    <w:p w14:paraId="4B2233D6" w14:textId="77777777" w:rsidR="00971A59" w:rsidRPr="00971A59" w:rsidRDefault="00971A59" w:rsidP="00971A59">
      <w:pPr>
        <w:spacing w:after="0" w:line="240" w:lineRule="auto"/>
        <w:rPr>
          <w:rFonts w:ascii="Avenir Next LT Pro" w:eastAsia="Gulim" w:hAnsi="Avenir Next LT Pro" w:cs="Segoe UI"/>
          <w:color w:val="FFFFFF"/>
          <w:kern w:val="0"/>
          <w:sz w:val="20"/>
          <w14:ligatures w14:val="none"/>
        </w:rPr>
      </w:pPr>
      <w:r w:rsidRPr="00971A59">
        <w:rPr>
          <w:rFonts w:ascii="Avenir Next LT Pro" w:eastAsia="Gulim" w:hAnsi="Avenir Next LT Pro" w:cs="Segoe UI"/>
          <w:color w:val="FFFFFF"/>
          <w:kern w:val="0"/>
          <w:sz w:val="28"/>
          <w:highlight w:val="darkBlue"/>
          <w14:ligatures w14:val="none"/>
        </w:rPr>
        <w:t>Advisory Committee Member</w:t>
      </w:r>
    </w:p>
    <w:p w14:paraId="7A2B7DD1" w14:textId="77777777" w:rsidR="00971A59" w:rsidRPr="00971A59" w:rsidRDefault="00971A59" w:rsidP="00971A59">
      <w:pPr>
        <w:numPr>
          <w:ilvl w:val="0"/>
          <w:numId w:val="3"/>
        </w:numPr>
        <w:spacing w:after="0" w:line="240" w:lineRule="auto"/>
        <w:ind w:left="360"/>
        <w:rPr>
          <w:rFonts w:ascii="Avenir Next LT Pro" w:eastAsia="Gulim" w:hAnsi="Avenir Next LT Pro" w:cs="Segoe UI"/>
          <w:b/>
          <w:kern w:val="0"/>
          <w:sz w:val="21"/>
          <w:szCs w:val="21"/>
          <w14:ligatures w14:val="none"/>
        </w:rPr>
      </w:pPr>
      <w:r w:rsidRPr="00971A59">
        <w:rPr>
          <w:rFonts w:ascii="Avenir Next LT Pro" w:eastAsia="Gulim" w:hAnsi="Avenir Next LT Pro" w:cs="Segoe UI"/>
          <w:kern w:val="0"/>
          <w:sz w:val="21"/>
          <w:szCs w:val="21"/>
          <w14:ligatures w14:val="none"/>
        </w:rPr>
        <w:t>Child and Adolescent Health Measurement Institute (CAHMI) Data Resource Center (2008-2012)</w:t>
      </w:r>
    </w:p>
    <w:p w14:paraId="7186BC66" w14:textId="77777777" w:rsidR="00971A59" w:rsidRPr="00971A59" w:rsidRDefault="00971A59" w:rsidP="00971A59">
      <w:pPr>
        <w:spacing w:after="0" w:line="240" w:lineRule="auto"/>
        <w:rPr>
          <w:rFonts w:ascii="Avenir Next LT Pro" w:eastAsia="Gulim" w:hAnsi="Avenir Next LT Pro" w:cs="Segoe UI"/>
          <w:color w:val="B10390"/>
          <w:kern w:val="0"/>
          <w14:ligatures w14:val="none"/>
        </w:rPr>
      </w:pPr>
    </w:p>
    <w:p w14:paraId="58F69076" w14:textId="77777777" w:rsidR="00971A59" w:rsidRPr="00971A59" w:rsidRDefault="00971A59" w:rsidP="00971A59">
      <w:pPr>
        <w:spacing w:after="0" w:line="240" w:lineRule="auto"/>
        <w:rPr>
          <w:rFonts w:ascii="Avenir Next LT Pro" w:eastAsia="Gulim" w:hAnsi="Avenir Next LT Pro" w:cs="Segoe UI"/>
          <w:b/>
          <w:color w:val="FFFFFF"/>
          <w:kern w:val="0"/>
          <w:sz w:val="20"/>
          <w:szCs w:val="20"/>
          <w14:ligatures w14:val="none"/>
        </w:rPr>
      </w:pPr>
      <w:r w:rsidRPr="00971A59">
        <w:rPr>
          <w:rFonts w:ascii="Avenir Next LT Pro" w:eastAsia="Gulim" w:hAnsi="Avenir Next LT Pro" w:cs="Segoe UI"/>
          <w:color w:val="FFFFFF"/>
          <w:kern w:val="0"/>
          <w:sz w:val="28"/>
          <w:highlight w:val="darkBlue"/>
          <w14:ligatures w14:val="none"/>
        </w:rPr>
        <w:t>Select Presentations</w:t>
      </w:r>
      <w:r w:rsidRPr="00971A59">
        <w:rPr>
          <w:rFonts w:ascii="Avenir Next LT Pro" w:eastAsia="Gulim" w:hAnsi="Avenir Next LT Pro" w:cs="Segoe UI"/>
          <w:color w:val="FFFFFF"/>
          <w:kern w:val="0"/>
          <w:sz w:val="28"/>
          <w14:ligatures w14:val="none"/>
        </w:rPr>
        <w:t xml:space="preserve"> </w:t>
      </w:r>
    </w:p>
    <w:p w14:paraId="0610DF01"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The Promise of Multi-Year Continuous Coverage</w:t>
      </w:r>
      <w:r w:rsidRPr="00971A59">
        <w:rPr>
          <w:rFonts w:ascii="Avenir Next LT Pro" w:eastAsia="Gulim" w:hAnsi="Avenir Next LT Pro" w:cs="Segoe UI"/>
          <w:bCs/>
          <w:kern w:val="0"/>
          <w:sz w:val="21"/>
          <w:szCs w:val="21"/>
          <w14:ligatures w14:val="none"/>
        </w:rPr>
        <w:t xml:space="preserve"> – National Academy for State Health Policy (NASHP) Annual Conference, September 2024</w:t>
      </w:r>
    </w:p>
    <w:p w14:paraId="5047DE90"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Removing Medicaid Barriers to Successful Mental Health Integration</w:t>
      </w:r>
      <w:r w:rsidRPr="00971A59">
        <w:rPr>
          <w:rFonts w:ascii="Avenir Next LT Pro" w:eastAsia="Gulim" w:hAnsi="Avenir Next LT Pro" w:cs="Segoe UI"/>
          <w:bCs/>
          <w:kern w:val="0"/>
          <w:sz w:val="21"/>
          <w:szCs w:val="21"/>
          <w14:ligatures w14:val="none"/>
        </w:rPr>
        <w:t xml:space="preserve"> – AAP National Conference and Exhibition, Section on Administration and Practice Management (SOAPM) Section H Program, September 2024</w:t>
      </w:r>
    </w:p>
    <w:p w14:paraId="703212CD"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New Medicaid and CHIP Access and Managed Care Rules: Overview and Opportunities</w:t>
      </w:r>
      <w:r w:rsidRPr="00971A59">
        <w:rPr>
          <w:rFonts w:ascii="Avenir Next LT Pro" w:eastAsia="Gulim" w:hAnsi="Avenir Next LT Pro" w:cs="Segoe UI"/>
          <w:bCs/>
          <w:kern w:val="0"/>
          <w:sz w:val="21"/>
          <w:szCs w:val="21"/>
          <w14:ligatures w14:val="none"/>
        </w:rPr>
        <w:t xml:space="preserve"> – AAP State Advocacy Webinar, June 2024</w:t>
      </w:r>
    </w:p>
    <w:p w14:paraId="4C08302B"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The Medicaid Unwinding and Children’s Coverage</w:t>
      </w:r>
      <w:r w:rsidRPr="00971A59">
        <w:rPr>
          <w:rFonts w:ascii="Avenir Next LT Pro" w:eastAsia="Gulim" w:hAnsi="Avenir Next LT Pro" w:cs="Segoe UI"/>
          <w:bCs/>
          <w:kern w:val="0"/>
          <w:sz w:val="21"/>
          <w:szCs w:val="21"/>
          <w14:ligatures w14:val="none"/>
        </w:rPr>
        <w:t xml:space="preserve"> – National Academy for State Health Policy (NASHP) Annual Conference, August 2023</w:t>
      </w:r>
    </w:p>
    <w:p w14:paraId="712CB876"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 xml:space="preserve">Pediatric Advocacy: It Works! </w:t>
      </w:r>
      <w:r w:rsidRPr="00971A59">
        <w:rPr>
          <w:rFonts w:ascii="Avenir Next LT Pro" w:eastAsia="Gulim" w:hAnsi="Avenir Next LT Pro" w:cs="Segoe UI"/>
          <w:bCs/>
          <w:kern w:val="0"/>
          <w:sz w:val="21"/>
          <w:szCs w:val="21"/>
          <w14:ligatures w14:val="none"/>
        </w:rPr>
        <w:t xml:space="preserve"> - Wisconsin AAP Advocacy Day, February 2022</w:t>
      </w:r>
    </w:p>
    <w:p w14:paraId="5BAD74B6"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 xml:space="preserve">State Advocacy for Children – </w:t>
      </w:r>
      <w:r w:rsidRPr="00971A59">
        <w:rPr>
          <w:rFonts w:ascii="Avenir Next LT Pro" w:eastAsia="Gulim" w:hAnsi="Avenir Next LT Pro" w:cs="Segoe UI"/>
          <w:bCs/>
          <w:kern w:val="0"/>
          <w:sz w:val="21"/>
          <w:szCs w:val="21"/>
          <w14:ligatures w14:val="none"/>
        </w:rPr>
        <w:t>Rocky Mtn. Oral Health Learning Network, August 2020</w:t>
      </w:r>
    </w:p>
    <w:p w14:paraId="28634F0C" w14:textId="77777777" w:rsidR="00971A59" w:rsidRPr="00971A59" w:rsidRDefault="00971A59" w:rsidP="00971A59">
      <w:pPr>
        <w:numPr>
          <w:ilvl w:val="0"/>
          <w:numId w:val="3"/>
        </w:numPr>
        <w:spacing w:after="0" w:line="240" w:lineRule="auto"/>
        <w:ind w:left="360"/>
        <w:rPr>
          <w:rFonts w:ascii="Avenir Next LT Pro" w:eastAsia="Gulim" w:hAnsi="Avenir Next LT Pro" w:cs="Segoe UI"/>
          <w:bCs/>
          <w:i/>
          <w:iCs/>
          <w:kern w:val="0"/>
          <w:sz w:val="21"/>
          <w:szCs w:val="21"/>
          <w14:ligatures w14:val="none"/>
        </w:rPr>
      </w:pPr>
      <w:r w:rsidRPr="00971A59">
        <w:rPr>
          <w:rFonts w:ascii="Avenir Next LT Pro" w:eastAsia="Gulim" w:hAnsi="Avenir Next LT Pro" w:cs="Segoe UI"/>
          <w:bCs/>
          <w:i/>
          <w:iCs/>
          <w:kern w:val="0"/>
          <w:sz w:val="21"/>
          <w:szCs w:val="21"/>
          <w14:ligatures w14:val="none"/>
        </w:rPr>
        <w:t xml:space="preserve">Medicaid Waivers and Other New Threats to Access, Coverage, and Care: Opportunities for Advocacy – </w:t>
      </w:r>
      <w:r w:rsidRPr="00971A59">
        <w:rPr>
          <w:rFonts w:ascii="Avenir Next LT Pro" w:eastAsia="Gulim" w:hAnsi="Avenir Next LT Pro" w:cs="Segoe UI"/>
          <w:bCs/>
          <w:kern w:val="0"/>
          <w:sz w:val="21"/>
          <w:szCs w:val="21"/>
          <w14:ligatures w14:val="none"/>
        </w:rPr>
        <w:t>AAP Annual Leadership Forum, March 2019</w:t>
      </w:r>
    </w:p>
    <w:p w14:paraId="04DC4C8A" w14:textId="77777777" w:rsidR="00971A59" w:rsidRPr="00971A59" w:rsidRDefault="00971A59" w:rsidP="00971A59">
      <w:pPr>
        <w:numPr>
          <w:ilvl w:val="0"/>
          <w:numId w:val="3"/>
        </w:numPr>
        <w:spacing w:after="0" w:line="240" w:lineRule="auto"/>
        <w:ind w:left="360"/>
        <w:rPr>
          <w:rFonts w:ascii="Avenir Next LT Pro" w:eastAsia="Gulim" w:hAnsi="Avenir Next LT Pro" w:cs="Segoe UI"/>
          <w:b/>
          <w:kern w:val="0"/>
          <w:sz w:val="21"/>
          <w:szCs w:val="21"/>
          <w14:ligatures w14:val="none"/>
        </w:rPr>
      </w:pPr>
      <w:r w:rsidRPr="00971A59">
        <w:rPr>
          <w:rFonts w:ascii="Avenir Next LT Pro" w:eastAsia="Gulim" w:hAnsi="Avenir Next LT Pro" w:cs="Segoe UI"/>
          <w:i/>
          <w:kern w:val="0"/>
          <w:sz w:val="21"/>
          <w:szCs w:val="21"/>
          <w14:ligatures w14:val="none"/>
        </w:rPr>
        <w:t xml:space="preserve">The AAP and Medicaid Payment Advocacy – </w:t>
      </w:r>
      <w:r w:rsidRPr="00971A59">
        <w:rPr>
          <w:rFonts w:ascii="Avenir Next LT Pro" w:eastAsia="Gulim" w:hAnsi="Avenir Next LT Pro" w:cs="Segoe UI"/>
          <w:kern w:val="0"/>
          <w:sz w:val="21"/>
          <w:szCs w:val="21"/>
          <w14:ligatures w14:val="none"/>
        </w:rPr>
        <w:t xml:space="preserve">AAP Section on </w:t>
      </w:r>
      <w:proofErr w:type="spellStart"/>
      <w:r w:rsidRPr="00971A59">
        <w:rPr>
          <w:rFonts w:ascii="Avenir Next LT Pro" w:eastAsia="Gulim" w:hAnsi="Avenir Next LT Pro" w:cs="Segoe UI"/>
          <w:kern w:val="0"/>
          <w:sz w:val="21"/>
          <w:szCs w:val="21"/>
          <w14:ligatures w14:val="none"/>
        </w:rPr>
        <w:t>Opthalmology</w:t>
      </w:r>
      <w:proofErr w:type="spellEnd"/>
      <w:r w:rsidRPr="00971A59">
        <w:rPr>
          <w:rFonts w:ascii="Avenir Next LT Pro" w:eastAsia="Gulim" w:hAnsi="Avenir Next LT Pro" w:cs="Segoe UI"/>
          <w:kern w:val="0"/>
          <w:sz w:val="21"/>
          <w:szCs w:val="21"/>
          <w14:ligatures w14:val="none"/>
        </w:rPr>
        <w:t xml:space="preserve"> Webinar, September 2018</w:t>
      </w:r>
    </w:p>
    <w:p w14:paraId="1271010F" w14:textId="77777777" w:rsidR="00971A59" w:rsidRPr="00971A59" w:rsidRDefault="00971A59" w:rsidP="00971A59">
      <w:pPr>
        <w:spacing w:after="0" w:line="240" w:lineRule="auto"/>
        <w:rPr>
          <w:rFonts w:ascii="Avenir Next LT Pro" w:eastAsia="Gulim" w:hAnsi="Avenir Next LT Pro" w:cs="Segoe UI"/>
          <w:b/>
          <w:kern w:val="0"/>
          <w14:ligatures w14:val="none"/>
        </w:rPr>
      </w:pPr>
    </w:p>
    <w:p w14:paraId="14425566" w14:textId="77777777" w:rsidR="00971A59" w:rsidRPr="00971A59" w:rsidRDefault="00971A59" w:rsidP="00971A59">
      <w:pPr>
        <w:spacing w:after="0" w:line="240" w:lineRule="auto"/>
        <w:rPr>
          <w:rFonts w:ascii="Avenir Next LT Pro" w:eastAsia="Gulim" w:hAnsi="Avenir Next LT Pro" w:cs="Segoe UI"/>
          <w:b/>
          <w:color w:val="FFFFFF"/>
          <w:kern w:val="0"/>
          <w:sz w:val="20"/>
          <w:szCs w:val="20"/>
          <w14:ligatures w14:val="none"/>
        </w:rPr>
      </w:pPr>
      <w:r w:rsidRPr="00971A59">
        <w:rPr>
          <w:rFonts w:ascii="Avenir Next LT Pro" w:eastAsia="Gulim" w:hAnsi="Avenir Next LT Pro" w:cs="Segoe UI"/>
          <w:color w:val="FFFFFF"/>
          <w:kern w:val="0"/>
          <w:sz w:val="28"/>
          <w:highlight w:val="darkBlue"/>
          <w14:ligatures w14:val="none"/>
        </w:rPr>
        <w:lastRenderedPageBreak/>
        <w:t>Education</w:t>
      </w:r>
    </w:p>
    <w:p w14:paraId="4FD2DF54" w14:textId="77777777" w:rsidR="00971A59" w:rsidRPr="00971A59" w:rsidRDefault="00971A59" w:rsidP="00971A59">
      <w:pPr>
        <w:spacing w:after="0" w:line="240" w:lineRule="auto"/>
        <w:rPr>
          <w:rFonts w:ascii="Avenir Next LT Pro" w:eastAsia="Gulim" w:hAnsi="Avenir Next LT Pro" w:cs="Segoe UI"/>
          <w:kern w:val="0"/>
          <w14:ligatures w14:val="none"/>
        </w:rPr>
      </w:pPr>
      <w:r w:rsidRPr="00971A59">
        <w:rPr>
          <w:rFonts w:ascii="Avenir Next LT Pro" w:eastAsia="Gulim" w:hAnsi="Avenir Next LT Pro" w:cs="Segoe UI"/>
          <w:kern w:val="0"/>
          <w14:ligatures w14:val="none"/>
        </w:rPr>
        <w:t xml:space="preserve">Master of Public Affairs (MPA) </w:t>
      </w:r>
    </w:p>
    <w:p w14:paraId="67CE78F9" w14:textId="77777777" w:rsidR="00971A59" w:rsidRPr="00971A59" w:rsidRDefault="00971A59" w:rsidP="00971A59">
      <w:pPr>
        <w:spacing w:after="80" w:line="240" w:lineRule="auto"/>
        <w:rPr>
          <w:rFonts w:ascii="Avenir Next LT Pro" w:eastAsia="Gulim" w:hAnsi="Avenir Next LT Pro" w:cs="Segoe UI"/>
          <w:color w:val="999999"/>
          <w:kern w:val="0"/>
          <w:sz w:val="20"/>
          <w:szCs w:val="20"/>
          <w14:ligatures w14:val="none"/>
        </w:rPr>
      </w:pPr>
      <w:r w:rsidRPr="00971A59">
        <w:rPr>
          <w:rFonts w:ascii="Avenir Next LT Pro" w:eastAsia="Gulim" w:hAnsi="Avenir Next LT Pro" w:cs="Segoe UI"/>
          <w:color w:val="999999"/>
          <w:kern w:val="0"/>
          <w:sz w:val="20"/>
          <w:szCs w:val="20"/>
          <w14:ligatures w14:val="none"/>
        </w:rPr>
        <w:t xml:space="preserve">Indiana University, O’Neill School of Public and Environmental Affairs - 2022 </w:t>
      </w:r>
    </w:p>
    <w:p w14:paraId="7703D207" w14:textId="77777777" w:rsidR="00971A59" w:rsidRPr="00971A59" w:rsidRDefault="00971A59" w:rsidP="00971A59">
      <w:pPr>
        <w:spacing w:after="0" w:line="240" w:lineRule="auto"/>
        <w:rPr>
          <w:rFonts w:ascii="Avenir Next LT Pro" w:eastAsia="Gulim" w:hAnsi="Avenir Next LT Pro" w:cs="Segoe UI"/>
          <w:color w:val="999999"/>
          <w:kern w:val="0"/>
          <w:sz w:val="20"/>
          <w:szCs w:val="20"/>
          <w14:ligatures w14:val="none"/>
        </w:rPr>
      </w:pPr>
      <w:r w:rsidRPr="00971A59">
        <w:rPr>
          <w:rFonts w:ascii="Avenir Next LT Pro" w:eastAsia="Gulim" w:hAnsi="Avenir Next LT Pro" w:cs="Segoe UI"/>
          <w:kern w:val="0"/>
          <w:sz w:val="21"/>
          <w:szCs w:val="21"/>
          <w14:ligatures w14:val="none"/>
        </w:rPr>
        <w:t>•  MPA Scholar Award recipient</w:t>
      </w:r>
      <w:r w:rsidRPr="00971A59">
        <w:rPr>
          <w:rFonts w:ascii="Avenir Next LT Pro" w:eastAsia="Gulim" w:hAnsi="Avenir Next LT Pro" w:cs="Segoe UI"/>
          <w:kern w:val="0"/>
          <w:sz w:val="21"/>
          <w:szCs w:val="21"/>
          <w14:ligatures w14:val="none"/>
        </w:rPr>
        <w:br/>
      </w:r>
    </w:p>
    <w:p w14:paraId="689D541F" w14:textId="77777777" w:rsidR="00971A59" w:rsidRPr="00971A59" w:rsidRDefault="00971A59" w:rsidP="00971A59">
      <w:pPr>
        <w:spacing w:after="0" w:line="240" w:lineRule="auto"/>
        <w:rPr>
          <w:rFonts w:ascii="Avenir Next LT Pro" w:eastAsia="Gulim" w:hAnsi="Avenir Next LT Pro" w:cs="Segoe UI"/>
          <w:kern w:val="0"/>
          <w14:ligatures w14:val="none"/>
        </w:rPr>
      </w:pPr>
      <w:r w:rsidRPr="00971A59">
        <w:rPr>
          <w:rFonts w:ascii="Avenir Next LT Pro" w:eastAsia="Gulim" w:hAnsi="Avenir Next LT Pro" w:cs="Segoe UI"/>
          <w:kern w:val="0"/>
          <w14:ligatures w14:val="none"/>
        </w:rPr>
        <w:t>Certificate in Non-Profit Management</w:t>
      </w:r>
    </w:p>
    <w:p w14:paraId="76B11395" w14:textId="77777777" w:rsidR="00971A59" w:rsidRPr="00971A59" w:rsidRDefault="00971A59" w:rsidP="00971A59">
      <w:pPr>
        <w:spacing w:after="0" w:line="240" w:lineRule="auto"/>
        <w:rPr>
          <w:rFonts w:ascii="Avenir Next LT Pro" w:eastAsia="Gulim" w:hAnsi="Avenir Next LT Pro" w:cs="Segoe UI"/>
          <w:color w:val="999999"/>
          <w:kern w:val="0"/>
          <w:sz w:val="20"/>
          <w14:ligatures w14:val="none"/>
        </w:rPr>
      </w:pPr>
      <w:r w:rsidRPr="00971A59">
        <w:rPr>
          <w:rFonts w:ascii="Avenir Next LT Pro" w:eastAsia="Gulim" w:hAnsi="Avenir Next LT Pro" w:cs="Segoe UI"/>
          <w:color w:val="999999"/>
          <w:kern w:val="0"/>
          <w:sz w:val="20"/>
          <w:szCs w:val="20"/>
          <w14:ligatures w14:val="none"/>
        </w:rPr>
        <w:t xml:space="preserve">DePaul University - </w:t>
      </w:r>
      <w:r w:rsidRPr="00971A59">
        <w:rPr>
          <w:rFonts w:ascii="Avenir Next LT Pro" w:eastAsia="Gulim" w:hAnsi="Avenir Next LT Pro" w:cs="Segoe UI"/>
          <w:color w:val="999999"/>
          <w:kern w:val="0"/>
          <w:sz w:val="20"/>
          <w14:ligatures w14:val="none"/>
        </w:rPr>
        <w:t>2011</w:t>
      </w:r>
      <w:r w:rsidRPr="00971A59">
        <w:rPr>
          <w:rFonts w:ascii="Avenir Next LT Pro" w:eastAsia="Gulim" w:hAnsi="Avenir Next LT Pro" w:cs="Segoe UI"/>
          <w:color w:val="999999"/>
          <w:kern w:val="0"/>
          <w:sz w:val="20"/>
          <w14:ligatures w14:val="none"/>
        </w:rPr>
        <w:br/>
      </w:r>
      <w:r w:rsidRPr="00971A59">
        <w:rPr>
          <w:rFonts w:ascii="Avenir Next LT Pro" w:eastAsia="Gulim" w:hAnsi="Avenir Next LT Pro" w:cs="Segoe UI"/>
          <w:kern w:val="0"/>
          <w14:ligatures w14:val="none"/>
        </w:rPr>
        <w:br/>
        <w:t>Bachelor of Arts, Political Science/Social Philosophy</w:t>
      </w:r>
    </w:p>
    <w:p w14:paraId="024931AB" w14:textId="77777777" w:rsidR="00971A59" w:rsidRPr="00971A59" w:rsidRDefault="00971A59" w:rsidP="00971A59">
      <w:pPr>
        <w:spacing w:after="0" w:line="240" w:lineRule="auto"/>
        <w:rPr>
          <w:rFonts w:ascii="Avenir Next LT Pro" w:eastAsia="Gulim" w:hAnsi="Avenir Next LT Pro" w:cs="Segoe UI"/>
          <w:color w:val="999999"/>
          <w:kern w:val="0"/>
          <w:sz w:val="20"/>
          <w14:ligatures w14:val="none"/>
        </w:rPr>
      </w:pPr>
      <w:r w:rsidRPr="00971A59">
        <w:rPr>
          <w:rFonts w:ascii="Avenir Next LT Pro" w:eastAsia="Gulim" w:hAnsi="Avenir Next LT Pro" w:cs="Segoe UI"/>
          <w:color w:val="999999"/>
          <w:kern w:val="0"/>
          <w:sz w:val="20"/>
          <w:szCs w:val="20"/>
          <w14:ligatures w14:val="none"/>
        </w:rPr>
        <w:t xml:space="preserve">Marquette University - </w:t>
      </w:r>
      <w:r w:rsidRPr="00971A59">
        <w:rPr>
          <w:rFonts w:ascii="Avenir Next LT Pro" w:eastAsia="Gulim" w:hAnsi="Avenir Next LT Pro" w:cs="Segoe UI"/>
          <w:color w:val="999999"/>
          <w:kern w:val="0"/>
          <w:sz w:val="20"/>
          <w14:ligatures w14:val="none"/>
        </w:rPr>
        <w:t>1997</w:t>
      </w:r>
    </w:p>
    <w:p w14:paraId="4D032E62" w14:textId="77777777" w:rsidR="00971A59" w:rsidRPr="00971A59" w:rsidRDefault="00971A59" w:rsidP="00971A59">
      <w:pPr>
        <w:spacing w:after="0" w:line="240" w:lineRule="auto"/>
        <w:rPr>
          <w:rFonts w:ascii="Avenir Next LT Pro" w:eastAsia="Gulim" w:hAnsi="Avenir Next LT Pro" w:cs="Segoe UI"/>
          <w:kern w:val="0"/>
          <w:sz w:val="21"/>
          <w:szCs w:val="21"/>
          <w14:ligatures w14:val="none"/>
        </w:rPr>
      </w:pPr>
      <w:r w:rsidRPr="00971A59">
        <w:rPr>
          <w:rFonts w:ascii="Avenir Next LT Pro" w:eastAsia="Gulim" w:hAnsi="Avenir Next LT Pro" w:cs="Segoe UI"/>
          <w:kern w:val="0"/>
          <w:sz w:val="21"/>
          <w:szCs w:val="21"/>
          <w14:ligatures w14:val="none"/>
        </w:rPr>
        <w:t xml:space="preserve">•  </w:t>
      </w:r>
      <w:bookmarkStart w:id="0" w:name="_Hlk6348975"/>
      <w:r w:rsidRPr="00971A59">
        <w:rPr>
          <w:rFonts w:ascii="Avenir Next LT Pro" w:eastAsia="Gulim" w:hAnsi="Avenir Next LT Pro" w:cs="Segoe UI"/>
          <w:kern w:val="0"/>
          <w:sz w:val="21"/>
          <w:szCs w:val="21"/>
          <w14:ligatures w14:val="none"/>
        </w:rPr>
        <w:t>Academic scholarship recipient, 4 years, renewable</w:t>
      </w:r>
      <w:bookmarkEnd w:id="0"/>
    </w:p>
    <w:p w14:paraId="0E174777" w14:textId="77777777" w:rsidR="00971A59" w:rsidRPr="00971A59" w:rsidRDefault="00971A59" w:rsidP="00971A59">
      <w:pPr>
        <w:spacing w:after="0" w:line="240" w:lineRule="auto"/>
        <w:rPr>
          <w:rFonts w:ascii="Avenir Next LT Pro" w:eastAsia="Gulim" w:hAnsi="Avenir Next LT Pro" w:cs="Segoe UI"/>
          <w:kern w:val="0"/>
          <w:sz w:val="20"/>
          <w14:ligatures w14:val="none"/>
        </w:rPr>
      </w:pPr>
      <w:r w:rsidRPr="00971A59">
        <w:rPr>
          <w:rFonts w:ascii="Avenir Next LT Pro" w:eastAsia="Gulim" w:hAnsi="Avenir Next LT Pro" w:cs="Segoe UI"/>
          <w:kern w:val="0"/>
          <w:sz w:val="21"/>
          <w:szCs w:val="21"/>
          <w14:ligatures w14:val="none"/>
        </w:rPr>
        <w:t>•  Les Aspin Center for Government student, Washington DC, 1996</w:t>
      </w:r>
    </w:p>
    <w:p w14:paraId="3523175F" w14:textId="77777777" w:rsidR="000C4BEA" w:rsidRDefault="000C4BEA"/>
    <w:sectPr w:rsidR="000C4BEA" w:rsidSect="00971A59">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45B"/>
    <w:multiLevelType w:val="hybridMultilevel"/>
    <w:tmpl w:val="97D8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D362B"/>
    <w:multiLevelType w:val="hybridMultilevel"/>
    <w:tmpl w:val="959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079F6"/>
    <w:multiLevelType w:val="hybridMultilevel"/>
    <w:tmpl w:val="2FBE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B63DB"/>
    <w:multiLevelType w:val="hybridMultilevel"/>
    <w:tmpl w:val="2942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751626">
    <w:abstractNumId w:val="3"/>
  </w:num>
  <w:num w:numId="2" w16cid:durableId="785201361">
    <w:abstractNumId w:val="2"/>
  </w:num>
  <w:num w:numId="3" w16cid:durableId="1736009411">
    <w:abstractNumId w:val="1"/>
  </w:num>
  <w:num w:numId="4" w16cid:durableId="30324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59"/>
    <w:rsid w:val="000705FD"/>
    <w:rsid w:val="000C4BEA"/>
    <w:rsid w:val="007E50E9"/>
    <w:rsid w:val="00971A59"/>
    <w:rsid w:val="00F3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2BEE"/>
  <w15:chartTrackingRefBased/>
  <w15:docId w15:val="{234F0F86-3C3A-4E7A-94C3-950E9563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A59"/>
    <w:rPr>
      <w:rFonts w:eastAsiaTheme="majorEastAsia" w:cstheme="majorBidi"/>
      <w:color w:val="272727" w:themeColor="text1" w:themeTint="D8"/>
    </w:rPr>
  </w:style>
  <w:style w:type="paragraph" w:styleId="Title">
    <w:name w:val="Title"/>
    <w:basedOn w:val="Normal"/>
    <w:next w:val="Normal"/>
    <w:link w:val="TitleChar"/>
    <w:uiPriority w:val="10"/>
    <w:qFormat/>
    <w:rsid w:val="00971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A59"/>
    <w:pPr>
      <w:spacing w:before="160"/>
      <w:jc w:val="center"/>
    </w:pPr>
    <w:rPr>
      <w:i/>
      <w:iCs/>
      <w:color w:val="404040" w:themeColor="text1" w:themeTint="BF"/>
    </w:rPr>
  </w:style>
  <w:style w:type="character" w:customStyle="1" w:styleId="QuoteChar">
    <w:name w:val="Quote Char"/>
    <w:basedOn w:val="DefaultParagraphFont"/>
    <w:link w:val="Quote"/>
    <w:uiPriority w:val="29"/>
    <w:rsid w:val="00971A59"/>
    <w:rPr>
      <w:i/>
      <w:iCs/>
      <w:color w:val="404040" w:themeColor="text1" w:themeTint="BF"/>
    </w:rPr>
  </w:style>
  <w:style w:type="paragraph" w:styleId="ListParagraph">
    <w:name w:val="List Paragraph"/>
    <w:basedOn w:val="Normal"/>
    <w:uiPriority w:val="34"/>
    <w:qFormat/>
    <w:rsid w:val="00971A59"/>
    <w:pPr>
      <w:ind w:left="720"/>
      <w:contextualSpacing/>
    </w:pPr>
  </w:style>
  <w:style w:type="character" w:styleId="IntenseEmphasis">
    <w:name w:val="Intense Emphasis"/>
    <w:basedOn w:val="DefaultParagraphFont"/>
    <w:uiPriority w:val="21"/>
    <w:qFormat/>
    <w:rsid w:val="00971A59"/>
    <w:rPr>
      <w:i/>
      <w:iCs/>
      <w:color w:val="0F4761" w:themeColor="accent1" w:themeShade="BF"/>
    </w:rPr>
  </w:style>
  <w:style w:type="paragraph" w:styleId="IntenseQuote">
    <w:name w:val="Intense Quote"/>
    <w:basedOn w:val="Normal"/>
    <w:next w:val="Normal"/>
    <w:link w:val="IntenseQuoteChar"/>
    <w:uiPriority w:val="30"/>
    <w:qFormat/>
    <w:rsid w:val="00971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A59"/>
    <w:rPr>
      <w:i/>
      <w:iCs/>
      <w:color w:val="0F4761" w:themeColor="accent1" w:themeShade="BF"/>
    </w:rPr>
  </w:style>
  <w:style w:type="character" w:styleId="IntenseReference">
    <w:name w:val="Intense Reference"/>
    <w:basedOn w:val="DefaultParagraphFont"/>
    <w:uiPriority w:val="32"/>
    <w:qFormat/>
    <w:rsid w:val="00971A59"/>
    <w:rPr>
      <w:b/>
      <w:bCs/>
      <w:smallCaps/>
      <w:color w:val="0F4761" w:themeColor="accent1" w:themeShade="BF"/>
      <w:spacing w:val="5"/>
    </w:rPr>
  </w:style>
  <w:style w:type="paragraph" w:styleId="NormalWeb">
    <w:name w:val="Normal (Web)"/>
    <w:basedOn w:val="Normal"/>
    <w:uiPriority w:val="99"/>
    <w:semiHidden/>
    <w:unhideWhenUsed/>
    <w:rsid w:val="007E50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danwalter585" TargetMode="External"/><Relationship Id="rId3" Type="http://schemas.openxmlformats.org/officeDocument/2006/relationships/settings" Target="settings.xml"/><Relationship Id="rId7" Type="http://schemas.openxmlformats.org/officeDocument/2006/relationships/hyperlink" Target="tel:+(773)7933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walter@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Dan</dc:creator>
  <cp:keywords/>
  <dc:description/>
  <cp:lastModifiedBy>Walter, Dan</cp:lastModifiedBy>
  <cp:revision>1</cp:revision>
  <dcterms:created xsi:type="dcterms:W3CDTF">2025-02-14T16:35:00Z</dcterms:created>
  <dcterms:modified xsi:type="dcterms:W3CDTF">2025-02-14T16:51:00Z</dcterms:modified>
</cp:coreProperties>
</file>